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F75F15">
        <w:rPr>
          <w:rFonts w:hint="eastAsia"/>
          <w:sz w:val="20"/>
          <w:lang w:val="sv-SE"/>
        </w:rPr>
        <w:t>80</w:t>
      </w:r>
      <w:r w:rsidR="0008783D">
        <w:rPr>
          <w:sz w:val="20"/>
          <w:lang w:val="sv-SE"/>
        </w:rPr>
        <w:t>bis</w:t>
      </w:r>
      <w:r w:rsidR="00857CEA">
        <w:rPr>
          <w:sz w:val="20"/>
          <w:lang w:val="sv-SE"/>
        </w:rPr>
        <w:tab/>
      </w:r>
      <w:r w:rsidR="00F46669" w:rsidRPr="00F46669">
        <w:rPr>
          <w:sz w:val="20"/>
          <w:lang w:val="sv-SE"/>
        </w:rPr>
        <w:t>R4-168600</w:t>
      </w:r>
      <w:bookmarkStart w:id="2" w:name="_GoBack"/>
      <w:bookmarkEnd w:id="2"/>
    </w:p>
    <w:p w:rsidR="00197EC1" w:rsidRDefault="00FF4DFC" w:rsidP="00197EC1">
      <w:pPr>
        <w:pStyle w:val="FootnoteText"/>
        <w:rPr>
          <w:rFonts w:ascii="Arial" w:eastAsiaTheme="minorEastAsia" w:hAnsi="Arial" w:cs="Arial"/>
          <w:b/>
          <w:bCs/>
          <w:noProof/>
          <w:szCs w:val="18"/>
          <w:lang w:eastAsia="zh-CN"/>
        </w:rPr>
      </w:pPr>
      <w:r w:rsidRPr="00FF4DFC">
        <w:rPr>
          <w:rFonts w:ascii="Arial" w:eastAsiaTheme="minorEastAsia" w:hAnsi="Arial" w:cs="Arial"/>
          <w:b/>
          <w:bCs/>
          <w:noProof/>
          <w:szCs w:val="18"/>
          <w:lang w:eastAsia="zh-CN"/>
        </w:rPr>
        <w:t>Ljubljana</w:t>
      </w:r>
      <w:r w:rsidR="00F75F15" w:rsidRPr="00332EBA">
        <w:rPr>
          <w:rFonts w:ascii="Arial" w:eastAsiaTheme="minorEastAsia" w:hAnsi="Arial" w:cs="Arial"/>
          <w:b/>
          <w:bCs/>
          <w:noProof/>
          <w:szCs w:val="18"/>
          <w:lang w:eastAsia="zh-CN"/>
        </w:rPr>
        <w:t xml:space="preserve">, </w:t>
      </w:r>
      <w:r w:rsidRPr="00FF4DFC">
        <w:rPr>
          <w:rFonts w:ascii="Arial" w:eastAsiaTheme="minorEastAsia" w:hAnsi="Arial" w:cs="Arial"/>
          <w:b/>
          <w:bCs/>
          <w:noProof/>
          <w:szCs w:val="18"/>
          <w:lang w:eastAsia="zh-CN"/>
        </w:rPr>
        <w:t>Slovenia</w:t>
      </w:r>
      <w:r w:rsidR="00F75F15" w:rsidRPr="00332EBA">
        <w:rPr>
          <w:rFonts w:ascii="Arial" w:eastAsiaTheme="minorEastAsia" w:hAnsi="Arial" w:cs="Arial"/>
          <w:b/>
          <w:bCs/>
          <w:noProof/>
          <w:szCs w:val="18"/>
          <w:lang w:eastAsia="zh-CN"/>
        </w:rPr>
        <w:t xml:space="preserve">, </w:t>
      </w:r>
      <w:r>
        <w:rPr>
          <w:rFonts w:ascii="Arial" w:eastAsiaTheme="minorEastAsia" w:hAnsi="Arial" w:cs="Arial"/>
          <w:b/>
          <w:bCs/>
          <w:noProof/>
          <w:szCs w:val="18"/>
          <w:lang w:eastAsia="zh-CN"/>
        </w:rPr>
        <w:t>10</w:t>
      </w:r>
      <w:r w:rsidR="00F75F15" w:rsidRPr="00332EBA">
        <w:rPr>
          <w:rFonts w:ascii="Arial" w:eastAsiaTheme="minorEastAsia" w:hAnsi="Arial" w:cs="Arial"/>
          <w:b/>
          <w:bCs/>
          <w:noProof/>
          <w:szCs w:val="18"/>
          <w:lang w:eastAsia="zh-CN"/>
        </w:rPr>
        <w:t xml:space="preserve"> – </w:t>
      </w:r>
      <w:r>
        <w:rPr>
          <w:rFonts w:ascii="Arial" w:eastAsiaTheme="minorEastAsia" w:hAnsi="Arial" w:cs="Arial"/>
          <w:b/>
          <w:bCs/>
          <w:noProof/>
          <w:szCs w:val="18"/>
          <w:lang w:eastAsia="zh-CN"/>
        </w:rPr>
        <w:t>14 Oct</w:t>
      </w:r>
      <w:r w:rsidR="00F75F15" w:rsidRPr="00332EBA">
        <w:rPr>
          <w:rFonts w:ascii="Arial" w:eastAsiaTheme="minorEastAsia" w:hAnsi="Arial" w:cs="Arial"/>
          <w:b/>
          <w:bCs/>
          <w:noProof/>
          <w:szCs w:val="18"/>
          <w:lang w:eastAsia="zh-CN"/>
        </w:rPr>
        <w:t>, 2016</w:t>
      </w:r>
    </w:p>
    <w:p w:rsidR="00815F66" w:rsidRPr="00D90968" w:rsidRDefault="00815F66"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FF4DFC">
        <w:rPr>
          <w:sz w:val="20"/>
          <w:lang w:val="en-US"/>
        </w:rPr>
        <w:t>Overview on V2V 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7585F">
        <w:rPr>
          <w:rFonts w:eastAsiaTheme="minorEastAsia"/>
          <w:sz w:val="20"/>
          <w:lang w:val="en-US" w:eastAsia="zh-CN"/>
        </w:rPr>
        <w:t>8.19.4.1</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3560F7" w:rsidRPr="00B34E08" w:rsidRDefault="009B4ADF" w:rsidP="003560F7">
      <w:pPr>
        <w:rPr>
          <w:rFonts w:ascii="Arial" w:hAnsi="Arial" w:cs="Arial"/>
          <w:szCs w:val="22"/>
          <w:lang w:val="en-US"/>
        </w:rPr>
      </w:pPr>
      <w:r w:rsidRPr="00B34E08">
        <w:rPr>
          <w:rFonts w:ascii="Arial" w:hAnsi="Arial" w:cs="Arial"/>
          <w:szCs w:val="22"/>
          <w:lang w:val="en-US"/>
        </w:rPr>
        <w:t xml:space="preserve">In last meeting, the working scope for V2V was discussed. </w:t>
      </w:r>
      <w:r w:rsidR="00EE1370" w:rsidRPr="00B34E08">
        <w:rPr>
          <w:rFonts w:ascii="Arial" w:hAnsi="Arial" w:cs="Arial"/>
          <w:szCs w:val="22"/>
          <w:lang w:val="en-US"/>
        </w:rPr>
        <w:t>In this paper, we provide our view on V2V demodulation</w:t>
      </w:r>
      <w:r w:rsidRPr="00B34E08">
        <w:rPr>
          <w:rFonts w:ascii="Arial" w:hAnsi="Arial" w:cs="Arial"/>
          <w:szCs w:val="22"/>
          <w:lang w:val="en-US"/>
        </w:rPr>
        <w:t xml:space="preserve"> frame</w:t>
      </w:r>
      <w:r w:rsidR="00493121" w:rsidRPr="00B34E08">
        <w:rPr>
          <w:rFonts w:ascii="Arial" w:hAnsi="Arial" w:cs="Arial"/>
          <w:szCs w:val="22"/>
          <w:lang w:val="en-US"/>
        </w:rPr>
        <w:t xml:space="preserve">work and also discuss how to treat the leftovers issues. </w:t>
      </w:r>
    </w:p>
    <w:p w:rsidR="00441224" w:rsidRDefault="00441224" w:rsidP="0034611F">
      <w:pPr>
        <w:pStyle w:val="Heading1"/>
        <w:rPr>
          <w:lang w:val="en-US"/>
        </w:rPr>
      </w:pPr>
      <w:r>
        <w:rPr>
          <w:lang w:val="en-US"/>
        </w:rPr>
        <w:t>Background</w:t>
      </w:r>
    </w:p>
    <w:p w:rsidR="00DC5EAA" w:rsidRDefault="00DC5EAA" w:rsidP="00DC5EAA">
      <w:pPr>
        <w:pStyle w:val="Heading2"/>
        <w:rPr>
          <w:lang w:val="en-US"/>
        </w:rPr>
      </w:pPr>
      <w:bookmarkStart w:id="5" w:name="_Ref463040604"/>
      <w:r>
        <w:rPr>
          <w:lang w:val="en-US"/>
        </w:rPr>
        <w:t>Fundamental Modifications introduced into V2V</w:t>
      </w:r>
      <w:bookmarkEnd w:id="5"/>
    </w:p>
    <w:p w:rsidR="00441224" w:rsidRDefault="00441224" w:rsidP="00441224">
      <w:pPr>
        <w:rPr>
          <w:rFonts w:ascii="Arial" w:hAnsi="Arial" w:cs="Arial"/>
          <w:szCs w:val="22"/>
          <w:lang w:val="en-US"/>
        </w:rPr>
      </w:pPr>
      <w:r>
        <w:rPr>
          <w:rFonts w:ascii="Arial" w:hAnsi="Arial" w:cs="Arial"/>
          <w:szCs w:val="22"/>
          <w:lang w:val="en-US"/>
        </w:rPr>
        <w:t xml:space="preserve">In </w:t>
      </w:r>
      <w:r>
        <w:rPr>
          <w:rFonts w:ascii="Arial" w:hAnsi="Arial" w:cs="Arial"/>
          <w:szCs w:val="22"/>
          <w:lang w:val="en-US"/>
        </w:rPr>
        <w:fldChar w:fldCharType="begin"/>
      </w:r>
      <w:r>
        <w:rPr>
          <w:rFonts w:ascii="Arial" w:hAnsi="Arial" w:cs="Arial"/>
          <w:szCs w:val="22"/>
          <w:lang w:val="en-US"/>
        </w:rPr>
        <w:instrText xml:space="preserve"> REF _Ref463034987 \r \h </w:instrText>
      </w:r>
      <w:r>
        <w:rPr>
          <w:rFonts w:ascii="Arial" w:hAnsi="Arial" w:cs="Arial"/>
          <w:szCs w:val="22"/>
          <w:lang w:val="en-US"/>
        </w:rPr>
      </w:r>
      <w:r>
        <w:rPr>
          <w:rFonts w:ascii="Arial" w:hAnsi="Arial" w:cs="Arial"/>
          <w:szCs w:val="22"/>
          <w:lang w:val="en-US"/>
        </w:rPr>
        <w:fldChar w:fldCharType="separate"/>
      </w:r>
      <w:r>
        <w:rPr>
          <w:rFonts w:ascii="Arial" w:hAnsi="Arial" w:cs="Arial"/>
          <w:szCs w:val="22"/>
          <w:lang w:val="en-US"/>
        </w:rPr>
        <w:t>[1]</w:t>
      </w:r>
      <w:r>
        <w:rPr>
          <w:rFonts w:ascii="Arial" w:hAnsi="Arial" w:cs="Arial"/>
          <w:szCs w:val="22"/>
          <w:lang w:val="en-US"/>
        </w:rPr>
        <w:fldChar w:fldCharType="end"/>
      </w:r>
      <w:r>
        <w:rPr>
          <w:rFonts w:ascii="Arial" w:hAnsi="Arial" w:cs="Arial"/>
          <w:szCs w:val="22"/>
          <w:lang w:val="en-US"/>
        </w:rPr>
        <w:t xml:space="preserve">, </w:t>
      </w:r>
      <w:r w:rsidR="00794BA1">
        <w:rPr>
          <w:rFonts w:ascii="Arial" w:hAnsi="Arial" w:cs="Arial"/>
          <w:szCs w:val="22"/>
          <w:lang w:val="en-US"/>
        </w:rPr>
        <w:t xml:space="preserve">it </w:t>
      </w:r>
      <w:r w:rsidR="00931ED8">
        <w:rPr>
          <w:rFonts w:ascii="Arial" w:hAnsi="Arial" w:cs="Arial"/>
          <w:szCs w:val="22"/>
          <w:lang w:val="en-US"/>
        </w:rPr>
        <w:t xml:space="preserve">summarizes the </w:t>
      </w:r>
      <w:r w:rsidR="00A73091">
        <w:rPr>
          <w:rFonts w:ascii="Arial" w:hAnsi="Arial" w:cs="Arial"/>
          <w:szCs w:val="22"/>
          <w:lang w:val="en-US"/>
        </w:rPr>
        <w:t>fundamental modifications to PC</w:t>
      </w:r>
      <w:r w:rsidR="006B3153">
        <w:rPr>
          <w:rFonts w:ascii="Arial" w:hAnsi="Arial" w:cs="Arial"/>
          <w:szCs w:val="22"/>
          <w:lang w:val="en-US"/>
        </w:rPr>
        <w:t>5 which</w:t>
      </w:r>
      <w:r w:rsidR="00931ED8">
        <w:rPr>
          <w:rFonts w:ascii="Arial" w:hAnsi="Arial" w:cs="Arial"/>
          <w:szCs w:val="22"/>
          <w:lang w:val="en-US"/>
        </w:rPr>
        <w:t xml:space="preserve"> </w:t>
      </w:r>
      <w:r w:rsidR="00A73091">
        <w:rPr>
          <w:rFonts w:ascii="Arial" w:hAnsi="Arial" w:cs="Arial"/>
          <w:szCs w:val="22"/>
          <w:lang w:val="en-US"/>
        </w:rPr>
        <w:t xml:space="preserve">have been introduced into V2V work item. </w:t>
      </w:r>
      <w:r w:rsidR="00DB4310">
        <w:rPr>
          <w:rFonts w:ascii="Arial" w:hAnsi="Arial" w:cs="Arial"/>
          <w:szCs w:val="22"/>
          <w:lang w:val="en-US"/>
        </w:rPr>
        <w:t xml:space="preserve">We recap </w:t>
      </w:r>
      <w:r w:rsidR="006B3153">
        <w:rPr>
          <w:rFonts w:ascii="Arial" w:hAnsi="Arial" w:cs="Arial"/>
          <w:szCs w:val="22"/>
          <w:lang w:val="en-US"/>
        </w:rPr>
        <w:t xml:space="preserve">these main fundamental </w:t>
      </w:r>
      <w:r w:rsidR="00DB4310">
        <w:rPr>
          <w:rFonts w:ascii="Arial" w:hAnsi="Arial" w:cs="Arial"/>
          <w:szCs w:val="22"/>
          <w:lang w:val="en-US"/>
        </w:rPr>
        <w:t xml:space="preserve">modifications based on </w:t>
      </w:r>
      <w:r w:rsidR="00DB4310">
        <w:rPr>
          <w:rFonts w:ascii="Arial" w:hAnsi="Arial" w:cs="Arial"/>
          <w:szCs w:val="22"/>
          <w:lang w:val="en-US"/>
        </w:rPr>
        <w:fldChar w:fldCharType="begin"/>
      </w:r>
      <w:r w:rsidR="00DB4310">
        <w:rPr>
          <w:rFonts w:ascii="Arial" w:hAnsi="Arial" w:cs="Arial"/>
          <w:szCs w:val="22"/>
          <w:lang w:val="en-US"/>
        </w:rPr>
        <w:instrText xml:space="preserve"> REF _Ref463034987 \r \h </w:instrText>
      </w:r>
      <w:r w:rsidR="00DB4310">
        <w:rPr>
          <w:rFonts w:ascii="Arial" w:hAnsi="Arial" w:cs="Arial"/>
          <w:szCs w:val="22"/>
          <w:lang w:val="en-US"/>
        </w:rPr>
      </w:r>
      <w:r w:rsidR="00DB4310">
        <w:rPr>
          <w:rFonts w:ascii="Arial" w:hAnsi="Arial" w:cs="Arial"/>
          <w:szCs w:val="22"/>
          <w:lang w:val="en-US"/>
        </w:rPr>
        <w:fldChar w:fldCharType="separate"/>
      </w:r>
      <w:r w:rsidR="00DB4310">
        <w:rPr>
          <w:rFonts w:ascii="Arial" w:hAnsi="Arial" w:cs="Arial"/>
          <w:szCs w:val="22"/>
          <w:lang w:val="en-US"/>
        </w:rPr>
        <w:t>[1]</w:t>
      </w:r>
      <w:r w:rsidR="00DB4310">
        <w:rPr>
          <w:rFonts w:ascii="Arial" w:hAnsi="Arial" w:cs="Arial"/>
          <w:szCs w:val="22"/>
          <w:lang w:val="en-US"/>
        </w:rPr>
        <w:fldChar w:fldCharType="end"/>
      </w:r>
      <w:r w:rsidR="00DB4310">
        <w:rPr>
          <w:rFonts w:ascii="Arial" w:hAnsi="Arial" w:cs="Arial"/>
          <w:szCs w:val="22"/>
          <w:lang w:val="en-US"/>
        </w:rPr>
        <w:t xml:space="preserve"> to facilitate the discussion described in the following sections. </w:t>
      </w:r>
    </w:p>
    <w:p w:rsidR="00441224" w:rsidRDefault="00A73091" w:rsidP="00441224">
      <w:pPr>
        <w:rPr>
          <w:rFonts w:ascii="Arial" w:hAnsi="Arial" w:cs="Arial"/>
          <w:szCs w:val="22"/>
          <w:lang w:val="en-US"/>
        </w:rPr>
      </w:pPr>
      <w:r>
        <w:rPr>
          <w:rFonts w:ascii="Arial" w:hAnsi="Arial" w:cs="Arial"/>
          <w:szCs w:val="22"/>
          <w:lang w:val="en-US"/>
        </w:rPr>
        <w:t>Firstly,</w:t>
      </w:r>
      <w:r w:rsidR="00441224">
        <w:rPr>
          <w:rFonts w:ascii="Arial" w:hAnsi="Arial" w:cs="Arial"/>
          <w:szCs w:val="22"/>
          <w:lang w:val="en-US"/>
        </w:rPr>
        <w:t xml:space="preserve"> additional DMRS symbols have been added to handle the high Doppler associated with relative speeds of up to 500kph and at high frequency (5.9GHz ITS band being the main target). This results in the sub-frame structure illustrated in Figure 1.</w:t>
      </w:r>
      <w:r w:rsidR="00441224" w:rsidRPr="0044717A">
        <w:rPr>
          <w:rFonts w:ascii="Arial" w:hAnsi="Arial" w:cs="Arial"/>
          <w:szCs w:val="22"/>
          <w:lang w:val="en-US"/>
        </w:rPr>
        <w:t xml:space="preserve"> </w:t>
      </w:r>
    </w:p>
    <w:p w:rsidR="00441224" w:rsidRDefault="00441224" w:rsidP="00441224">
      <w:pPr>
        <w:rPr>
          <w:rFonts w:ascii="Arial" w:hAnsi="Arial" w:cs="Arial"/>
          <w:szCs w:val="22"/>
          <w:lang w:val="en-US"/>
        </w:rPr>
      </w:pPr>
      <w:r>
        <w:rPr>
          <w:rFonts w:ascii="Arial" w:hAnsi="Arial" w:cs="Arial"/>
          <w:szCs w:val="22"/>
          <w:lang w:val="en-US"/>
        </w:rPr>
        <w:t>As illustrated the V2V sub-frame for PC5 interface has 4 DMRS symbols, in addition to the Tx-Rx turnaround symbol at the end, allowing for better tracking of the channel at high speed.</w:t>
      </w:r>
    </w:p>
    <w:p w:rsidR="00441224" w:rsidRDefault="00441224" w:rsidP="00441224">
      <w:pPr>
        <w:rPr>
          <w:rFonts w:ascii="Arial" w:hAnsi="Arial" w:cs="Arial"/>
          <w:szCs w:val="22"/>
          <w:lang w:val="en-US"/>
        </w:rPr>
      </w:pPr>
    </w:p>
    <w:p w:rsidR="00441224" w:rsidRDefault="00A73091" w:rsidP="00441224">
      <w:pPr>
        <w:jc w:val="center"/>
        <w:rPr>
          <w:rFonts w:ascii="Arial" w:hAnsi="Arial" w:cs="Arial"/>
          <w:b/>
          <w:i/>
          <w:szCs w:val="22"/>
          <w:lang w:val="en-US"/>
        </w:rPr>
      </w:pPr>
      <w:r>
        <w:rPr>
          <w:noProof/>
          <w:lang w:val="en-US"/>
        </w:rPr>
        <mc:AlternateContent>
          <mc:Choice Requires="wps">
            <w:drawing>
              <wp:anchor distT="0" distB="0" distL="114300" distR="114300" simplePos="0" relativeHeight="251661824" behindDoc="0" locked="0" layoutInCell="1" allowOverlap="1" wp14:anchorId="20BF72D1" wp14:editId="6BA48CFF">
                <wp:simplePos x="0" y="0"/>
                <wp:positionH relativeFrom="column">
                  <wp:posOffset>908050</wp:posOffset>
                </wp:positionH>
                <wp:positionV relativeFrom="paragraph">
                  <wp:posOffset>1310005</wp:posOffset>
                </wp:positionV>
                <wp:extent cx="4298950" cy="635"/>
                <wp:effectExtent l="0" t="0" r="6350" b="18415"/>
                <wp:wrapSquare wrapText="bothSides"/>
                <wp:docPr id="2" name="Text Box 2"/>
                <wp:cNvGraphicFramePr/>
                <a:graphic xmlns:a="http://schemas.openxmlformats.org/drawingml/2006/main">
                  <a:graphicData uri="http://schemas.microsoft.com/office/word/2010/wordprocessingShape">
                    <wps:wsp>
                      <wps:cNvSpPr txBox="1"/>
                      <wps:spPr>
                        <a:xfrm>
                          <a:off x="0" y="0"/>
                          <a:ext cx="4298950" cy="635"/>
                        </a:xfrm>
                        <a:prstGeom prst="rect">
                          <a:avLst/>
                        </a:prstGeom>
                        <a:solidFill>
                          <a:prstClr val="white"/>
                        </a:solidFill>
                        <a:ln>
                          <a:noFill/>
                        </a:ln>
                      </wps:spPr>
                      <wps:txbx>
                        <w:txbxContent>
                          <w:p w:rsidR="00C93664" w:rsidRPr="00967EEC" w:rsidRDefault="00C93664" w:rsidP="00A73091">
                            <w:pPr>
                              <w:pStyle w:val="Caption"/>
                              <w:rPr>
                                <w:rFonts w:ascii="Arial" w:hAnsi="Arial" w:cs="Arial"/>
                                <w:noProof/>
                              </w:rPr>
                            </w:pPr>
                            <w:r>
                              <w:t xml:space="preserve">Figure </w:t>
                            </w:r>
                            <w:r>
                              <w:fldChar w:fldCharType="begin"/>
                            </w:r>
                            <w:r>
                              <w:instrText xml:space="preserve"> SEQ Figure \* ARABIC </w:instrText>
                            </w:r>
                            <w:r>
                              <w:fldChar w:fldCharType="separate"/>
                            </w:r>
                            <w:r>
                              <w:rPr>
                                <w:noProof/>
                              </w:rPr>
                              <w:t>1</w:t>
                            </w:r>
                            <w:r>
                              <w:fldChar w:fldCharType="end"/>
                            </w:r>
                            <w:r>
                              <w:t xml:space="preserve">: sub-frame structure </w:t>
                            </w:r>
                            <w:r>
                              <w:fldChar w:fldCharType="begin"/>
                            </w:r>
                            <w:r>
                              <w:instrText xml:space="preserve"> REF _Ref463034987 \r \h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0BF72D1" id="_x0000_t202" coordsize="21600,21600" o:spt="202" path="m,l,21600r21600,l21600,xe">
                <v:stroke joinstyle="miter"/>
                <v:path gradientshapeok="t" o:connecttype="rect"/>
              </v:shapetype>
              <v:shape id="Text Box 2" o:spid="_x0000_s1026" type="#_x0000_t202" style="position:absolute;left:0;text-align:left;margin-left:71.5pt;margin-top:103.15pt;width:338.5pt;height:.0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" stroked="f">
                <v:textbox style="mso-fit-shape-to-text:t" inset="0,0,0,0">
                  <w:txbxContent>
                    <w:p w:rsidR="00C93664" w:rsidRPr="00967EEC" w:rsidRDefault="00C93664" w:rsidP="00A73091">
                      <w:pPr>
                        <w:pStyle w:val="Caption"/>
                        <w:rPr>
                          <w:rFonts w:ascii="Arial" w:hAnsi="Arial" w:cs="Arial"/>
                          <w:noProof/>
                        </w:rPr>
                      </w:pPr>
                      <w:r>
                        <w:t xml:space="preserve">Figure </w:t>
                      </w:r>
                      <w:r>
                        <w:fldChar w:fldCharType="begin"/>
                      </w:r>
                      <w:r>
                        <w:instrText xml:space="preserve"> SEQ Figure \* ARABIC </w:instrText>
                      </w:r>
                      <w:r>
                        <w:fldChar w:fldCharType="separate"/>
                      </w:r>
                      <w:r>
                        <w:rPr>
                          <w:noProof/>
                        </w:rPr>
                        <w:t>1</w:t>
                      </w:r>
                      <w:r>
                        <w:fldChar w:fldCharType="end"/>
                      </w:r>
                      <w:r>
                        <w:t xml:space="preserve">: sub-frame structure </w:t>
                      </w:r>
                      <w:r>
                        <w:fldChar w:fldCharType="begin"/>
                      </w:r>
                      <w:r>
                        <w:instrText xml:space="preserve"> REF _Ref463034987 \r \h </w:instrText>
                      </w:r>
                      <w:r>
                        <w:fldChar w:fldCharType="separate"/>
                      </w:r>
                      <w:r>
                        <w:t>[1]</w:t>
                      </w:r>
                      <w:r>
                        <w:fldChar w:fldCharType="end"/>
                      </w:r>
                    </w:p>
                  </w:txbxContent>
                </v:textbox>
                <w10:wrap type="square"/>
              </v:shape>
            </w:pict>
          </mc:Fallback>
        </mc:AlternateContent>
      </w:r>
      <w:r w:rsidR="00441224">
        <w:rPr>
          <w:rFonts w:ascii="Arial" w:hAnsi="Arial" w:cs="Arial"/>
          <w:noProof/>
          <w:szCs w:val="22"/>
          <w:lang w:val="en-US"/>
        </w:rPr>
        <w:drawing>
          <wp:anchor distT="0" distB="0" distL="114300" distR="114300" simplePos="0" relativeHeight="251654656" behindDoc="0" locked="0" layoutInCell="1" allowOverlap="1" wp14:anchorId="1BAC04BE" wp14:editId="313EBE52">
            <wp:simplePos x="0" y="0"/>
            <wp:positionH relativeFrom="column">
              <wp:posOffset>908050</wp:posOffset>
            </wp:positionH>
            <wp:positionV relativeFrom="paragraph">
              <wp:posOffset>153035</wp:posOffset>
            </wp:positionV>
            <wp:extent cx="4298950" cy="10998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8950" cy="1099820"/>
                    </a:xfrm>
                    <a:prstGeom prst="rect">
                      <a:avLst/>
                    </a:prstGeom>
                    <a:noFill/>
                  </pic:spPr>
                </pic:pic>
              </a:graphicData>
            </a:graphic>
            <wp14:sizeRelH relativeFrom="page">
              <wp14:pctWidth>0</wp14:pctWidth>
            </wp14:sizeRelH>
            <wp14:sizeRelV relativeFrom="page">
              <wp14:pctHeight>0</wp14:pctHeight>
            </wp14:sizeRelV>
          </wp:anchor>
        </w:drawing>
      </w:r>
    </w:p>
    <w:p w:rsidR="00441224" w:rsidRDefault="00441224" w:rsidP="00441224">
      <w:pPr>
        <w:jc w:val="center"/>
        <w:rPr>
          <w:rFonts w:ascii="Arial" w:hAnsi="Arial" w:cs="Arial"/>
          <w:b/>
          <w:i/>
          <w:szCs w:val="22"/>
          <w:lang w:val="en-US"/>
        </w:rPr>
      </w:pPr>
    </w:p>
    <w:p w:rsidR="00441224" w:rsidRDefault="00441224" w:rsidP="00441224">
      <w:pPr>
        <w:jc w:val="center"/>
        <w:rPr>
          <w:rFonts w:ascii="Arial" w:hAnsi="Arial" w:cs="Arial"/>
          <w:b/>
          <w:i/>
          <w:szCs w:val="22"/>
          <w:lang w:val="en-US"/>
        </w:rPr>
      </w:pPr>
    </w:p>
    <w:p w:rsidR="00441224" w:rsidRDefault="00441224" w:rsidP="00441224">
      <w:pPr>
        <w:jc w:val="center"/>
        <w:rPr>
          <w:rFonts w:ascii="Arial" w:hAnsi="Arial" w:cs="Arial"/>
          <w:b/>
          <w:i/>
          <w:szCs w:val="22"/>
          <w:lang w:val="en-US"/>
        </w:rPr>
      </w:pPr>
    </w:p>
    <w:p w:rsidR="00441224" w:rsidRDefault="00441224" w:rsidP="00441224">
      <w:pPr>
        <w:jc w:val="center"/>
        <w:rPr>
          <w:rFonts w:ascii="Arial" w:hAnsi="Arial" w:cs="Arial"/>
          <w:b/>
          <w:i/>
          <w:szCs w:val="22"/>
          <w:lang w:val="en-US"/>
        </w:rPr>
      </w:pPr>
    </w:p>
    <w:p w:rsidR="00441224" w:rsidRPr="001B2A91" w:rsidRDefault="00441224" w:rsidP="00A73091">
      <w:pPr>
        <w:jc w:val="center"/>
        <w:rPr>
          <w:rFonts w:ascii="Arial" w:hAnsi="Arial" w:cs="Arial"/>
          <w:b/>
          <w:i/>
          <w:szCs w:val="22"/>
          <w:lang w:val="en-US"/>
        </w:rPr>
      </w:pPr>
    </w:p>
    <w:p w:rsidR="00441224" w:rsidRDefault="00441224" w:rsidP="00441224">
      <w:pPr>
        <w:rPr>
          <w:lang w:val="en-US"/>
        </w:rPr>
      </w:pPr>
    </w:p>
    <w:p w:rsidR="00E324AD" w:rsidRDefault="00E324AD" w:rsidP="00E324AD">
      <w:pPr>
        <w:rPr>
          <w:rFonts w:ascii="Arial" w:hAnsi="Arial" w:cs="Arial"/>
          <w:szCs w:val="22"/>
          <w:lang w:val="en-US"/>
        </w:rPr>
      </w:pPr>
      <w:r>
        <w:rPr>
          <w:rFonts w:ascii="Arial" w:hAnsi="Arial" w:cs="Arial"/>
          <w:szCs w:val="22"/>
          <w:lang w:val="en-US"/>
        </w:rPr>
        <w:t xml:space="preserve">Secondly a new arrangement of scheduling assignment and data resources has been agreed. The arrangement is illustrated in Figure 2 and is designed to enhance the system level performance under high density while meeting the latency requirements of V2V. Scheduling assignments (SA or PSCCH) are transmitted in sub-channels using specific RBs across time. Data transmissions associated with said scheduling assignments are occupying adjacent RBs in the same subframe. Note that another variant where SA and associated data transmissions are not necessarily transmitted on adjacent RBs has also been standardized. </w:t>
      </w: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8F7376" w:rsidRDefault="008F7376" w:rsidP="00E324AD">
      <w:pPr>
        <w:rPr>
          <w:rFonts w:ascii="Arial" w:hAnsi="Arial" w:cs="Arial"/>
          <w:szCs w:val="22"/>
          <w:lang w:val="en-US"/>
        </w:rPr>
      </w:pPr>
    </w:p>
    <w:p w:rsidR="00E324AD" w:rsidRDefault="00E324AD" w:rsidP="00E324AD">
      <w:pPr>
        <w:rPr>
          <w:rFonts w:ascii="Arial" w:hAnsi="Arial" w:cs="Arial"/>
          <w:szCs w:val="22"/>
          <w:lang w:val="en-US"/>
        </w:rPr>
      </w:pPr>
      <w:r>
        <w:rPr>
          <w:rFonts w:ascii="Arial" w:hAnsi="Arial" w:cs="Arial"/>
          <w:noProof/>
          <w:szCs w:val="22"/>
          <w:lang w:val="en-US"/>
        </w:rPr>
        <w:lastRenderedPageBreak/>
        <w:drawing>
          <wp:anchor distT="0" distB="0" distL="114300" distR="114300" simplePos="0" relativeHeight="251657728" behindDoc="0" locked="0" layoutInCell="1" allowOverlap="0" wp14:anchorId="44E9D48A" wp14:editId="598B8F31">
            <wp:simplePos x="0" y="0"/>
            <wp:positionH relativeFrom="column">
              <wp:posOffset>1832610</wp:posOffset>
            </wp:positionH>
            <wp:positionV relativeFrom="paragraph">
              <wp:posOffset>221615</wp:posOffset>
            </wp:positionV>
            <wp:extent cx="2305050" cy="1593215"/>
            <wp:effectExtent l="0" t="0" r="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1593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Cs w:val="22"/>
          <w:lang w:val="en-US"/>
        </w:rPr>
        <w:t xml:space="preserve"> </w:t>
      </w:r>
    </w:p>
    <w:p w:rsidR="00E324AD" w:rsidRDefault="00E324AD" w:rsidP="00E324AD">
      <w:pPr>
        <w:rPr>
          <w:rFonts w:ascii="Arial" w:hAnsi="Arial" w:cs="Arial"/>
          <w:szCs w:val="22"/>
          <w:lang w:val="en-US"/>
        </w:rPr>
      </w:pPr>
    </w:p>
    <w:p w:rsidR="00E324AD" w:rsidRDefault="00E324AD" w:rsidP="00E324AD">
      <w:pPr>
        <w:rPr>
          <w:rFonts w:ascii="Arial" w:hAnsi="Arial" w:cs="Arial"/>
          <w:szCs w:val="22"/>
          <w:lang w:val="en-US"/>
        </w:rPr>
      </w:pPr>
    </w:p>
    <w:p w:rsidR="00E324AD" w:rsidRDefault="00E324AD" w:rsidP="00E324AD">
      <w:pPr>
        <w:rPr>
          <w:rFonts w:ascii="Arial" w:hAnsi="Arial" w:cs="Arial"/>
          <w:szCs w:val="22"/>
          <w:lang w:val="en-US"/>
        </w:rPr>
      </w:pPr>
    </w:p>
    <w:p w:rsidR="00E324AD" w:rsidRDefault="00E324AD" w:rsidP="00E324AD">
      <w:pPr>
        <w:rPr>
          <w:rFonts w:ascii="Arial" w:hAnsi="Arial" w:cs="Arial"/>
          <w:szCs w:val="22"/>
          <w:lang w:val="en-US"/>
        </w:rPr>
      </w:pPr>
    </w:p>
    <w:p w:rsidR="00E324AD" w:rsidRDefault="00E324AD" w:rsidP="00E324AD">
      <w:pPr>
        <w:rPr>
          <w:rFonts w:ascii="Arial" w:hAnsi="Arial" w:cs="Arial"/>
          <w:szCs w:val="22"/>
          <w:lang w:val="en-US"/>
        </w:rPr>
      </w:pPr>
    </w:p>
    <w:p w:rsidR="00E324AD" w:rsidRDefault="00E324AD" w:rsidP="00E324AD">
      <w:pPr>
        <w:rPr>
          <w:rFonts w:ascii="Arial" w:hAnsi="Arial" w:cs="Arial"/>
          <w:szCs w:val="22"/>
          <w:lang w:val="en-US"/>
        </w:rPr>
      </w:pPr>
    </w:p>
    <w:p w:rsidR="00E324AD" w:rsidRPr="001B2A91" w:rsidRDefault="00E324AD" w:rsidP="00E324AD">
      <w:pPr>
        <w:jc w:val="center"/>
        <w:rPr>
          <w:rFonts w:ascii="Arial" w:hAnsi="Arial" w:cs="Arial"/>
          <w:b/>
          <w:i/>
          <w:szCs w:val="22"/>
          <w:lang w:val="en-US"/>
        </w:rPr>
      </w:pPr>
      <w:r>
        <w:rPr>
          <w:noProof/>
          <w:lang w:val="en-US"/>
        </w:rPr>
        <mc:AlternateContent>
          <mc:Choice Requires="wps">
            <w:drawing>
              <wp:anchor distT="0" distB="0" distL="114300" distR="114300" simplePos="0" relativeHeight="251660800" behindDoc="0" locked="0" layoutInCell="1" allowOverlap="1" wp14:anchorId="43C5835F" wp14:editId="0B4DB419">
                <wp:simplePos x="0" y="0"/>
                <wp:positionH relativeFrom="column">
                  <wp:posOffset>1270000</wp:posOffset>
                </wp:positionH>
                <wp:positionV relativeFrom="paragraph">
                  <wp:posOffset>291465</wp:posOffset>
                </wp:positionV>
                <wp:extent cx="3590925" cy="635"/>
                <wp:effectExtent l="0" t="0" r="9525" b="2540"/>
                <wp:wrapSquare wrapText="bothSides"/>
                <wp:docPr id="4" name="Text Box 4"/>
                <wp:cNvGraphicFramePr/>
                <a:graphic xmlns:a="http://schemas.openxmlformats.org/drawingml/2006/main">
                  <a:graphicData uri="http://schemas.microsoft.com/office/word/2010/wordprocessingShape">
                    <wps:wsp>
                      <wps:cNvSpPr txBox="1"/>
                      <wps:spPr>
                        <a:xfrm>
                          <a:off x="0" y="0"/>
                          <a:ext cx="3590925" cy="635"/>
                        </a:xfrm>
                        <a:prstGeom prst="rect">
                          <a:avLst/>
                        </a:prstGeom>
                        <a:solidFill>
                          <a:prstClr val="white"/>
                        </a:solidFill>
                        <a:ln>
                          <a:noFill/>
                        </a:ln>
                      </wps:spPr>
                      <wps:txbx>
                        <w:txbxContent>
                          <w:p w:rsidR="00C93664" w:rsidRPr="00810F4C" w:rsidRDefault="00C93664" w:rsidP="00E324AD">
                            <w:pPr>
                              <w:pStyle w:val="Caption"/>
                              <w:rPr>
                                <w:rFonts w:ascii="Arial" w:hAnsi="Arial" w:cs="Arial"/>
                                <w:noProof/>
                              </w:rPr>
                            </w:pPr>
                            <w:r>
                              <w:t xml:space="preserve">Figure </w:t>
                            </w:r>
                            <w:r>
                              <w:fldChar w:fldCharType="begin"/>
                            </w:r>
                            <w:r>
                              <w:instrText xml:space="preserve"> SEQ Figure \* ARABIC </w:instrText>
                            </w:r>
                            <w:r>
                              <w:fldChar w:fldCharType="separate"/>
                            </w:r>
                            <w:r>
                              <w:rPr>
                                <w:noProof/>
                              </w:rPr>
                              <w:t>2</w:t>
                            </w:r>
                            <w:r>
                              <w:fldChar w:fldCharType="end"/>
                            </w:r>
                            <w:r>
                              <w:t xml:space="preserve">: multiplexing of scheduling assignment and data resources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C5835F" id="Text Box 4" o:spid="_x0000_s1027" type="#_x0000_t202" style="position:absolute;left:0;text-align:left;margin-left:100pt;margin-top:22.95pt;width:282.75pt;height:.0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" stroked="f">
                <v:textbox style="mso-fit-shape-to-text:t" inset="0,0,0,0">
                  <w:txbxContent>
                    <w:p w:rsidR="00C93664" w:rsidRPr="00810F4C" w:rsidRDefault="00C93664" w:rsidP="00E324AD">
                      <w:pPr>
                        <w:pStyle w:val="Caption"/>
                        <w:rPr>
                          <w:rFonts w:ascii="Arial" w:hAnsi="Arial" w:cs="Arial"/>
                          <w:noProof/>
                        </w:rPr>
                      </w:pPr>
                      <w:r>
                        <w:t xml:space="preserve">Figure </w:t>
                      </w:r>
                      <w:r>
                        <w:fldChar w:fldCharType="begin"/>
                      </w:r>
                      <w:r>
                        <w:instrText xml:space="preserve"> SEQ Figure \* ARABIC </w:instrText>
                      </w:r>
                      <w:r>
                        <w:fldChar w:fldCharType="separate"/>
                      </w:r>
                      <w:r>
                        <w:rPr>
                          <w:noProof/>
                        </w:rPr>
                        <w:t>2</w:t>
                      </w:r>
                      <w:r>
                        <w:fldChar w:fldCharType="end"/>
                      </w:r>
                      <w:r>
                        <w:t xml:space="preserve">: multiplexing of scheduling assignment and data resources </w:t>
                      </w:r>
                    </w:p>
                  </w:txbxContent>
                </v:textbox>
                <w10:wrap type="square"/>
              </v:shape>
            </w:pict>
          </mc:Fallback>
        </mc:AlternateContent>
      </w:r>
    </w:p>
    <w:p w:rsidR="00A73091" w:rsidRDefault="00A73091" w:rsidP="00441224">
      <w:pPr>
        <w:rPr>
          <w:lang w:val="en-US"/>
        </w:rPr>
      </w:pPr>
    </w:p>
    <w:p w:rsidR="007A3B53" w:rsidRDefault="007A3B53" w:rsidP="00DB4310">
      <w:pPr>
        <w:rPr>
          <w:rFonts w:ascii="Arial" w:hAnsi="Arial" w:cs="Arial"/>
          <w:szCs w:val="22"/>
          <w:lang w:val="en-US"/>
        </w:rPr>
      </w:pPr>
    </w:p>
    <w:p w:rsidR="007A3B53" w:rsidRDefault="007A3B53" w:rsidP="00DB4310">
      <w:pPr>
        <w:rPr>
          <w:rFonts w:ascii="Arial" w:hAnsi="Arial" w:cs="Arial"/>
          <w:szCs w:val="22"/>
          <w:lang w:val="en-US"/>
        </w:rPr>
      </w:pPr>
    </w:p>
    <w:p w:rsidR="00B51A23" w:rsidRDefault="00B51A23" w:rsidP="00DB4310">
      <w:pPr>
        <w:rPr>
          <w:rFonts w:ascii="Arial" w:hAnsi="Arial" w:cs="Arial"/>
          <w:szCs w:val="22"/>
          <w:lang w:val="en-US"/>
        </w:rPr>
      </w:pPr>
    </w:p>
    <w:p w:rsidR="00DB4310" w:rsidRDefault="00DB4310" w:rsidP="00DB4310">
      <w:pPr>
        <w:rPr>
          <w:rFonts w:ascii="Arial" w:hAnsi="Arial" w:cs="Arial"/>
          <w:szCs w:val="22"/>
          <w:lang w:val="en-US"/>
        </w:rPr>
      </w:pPr>
      <w:r>
        <w:rPr>
          <w:rFonts w:ascii="Arial" w:hAnsi="Arial" w:cs="Arial"/>
          <w:szCs w:val="22"/>
          <w:lang w:val="en-US"/>
        </w:rPr>
        <w:t>Finally for distributed scheduling (a.k.a. Mode 4) a sensing with semi-persistent transmission based mechanism was introduced. V2V traffic from a device is mostly periodic in nature. This was utilized to sense congestion on a resource and estimate future congestion on that resource. Based on estimation resources were booked. This technique optimizes the use of the channel by enhancing resource separation between transmitters that are using overlapping resources.</w:t>
      </w:r>
    </w:p>
    <w:p w:rsidR="00060D85" w:rsidRDefault="00060D85" w:rsidP="00060D85">
      <w:pPr>
        <w:rPr>
          <w:rFonts w:ascii="Arial" w:hAnsi="Arial" w:cs="Arial"/>
          <w:szCs w:val="22"/>
          <w:lang w:val="en-US"/>
        </w:rPr>
      </w:pPr>
      <w:r>
        <w:rPr>
          <w:rFonts w:ascii="Arial" w:hAnsi="Arial" w:cs="Arial"/>
          <w:szCs w:val="22"/>
          <w:lang w:val="en-US"/>
        </w:rPr>
        <w:t>They are two high level deployment configurations currently defined and illustrated in Figure 3.</w:t>
      </w:r>
    </w:p>
    <w:p w:rsidR="00060D85" w:rsidRDefault="00060D85" w:rsidP="00DB4310">
      <w:pPr>
        <w:rPr>
          <w:rFonts w:ascii="Arial" w:hAnsi="Arial" w:cs="Arial"/>
          <w:szCs w:val="22"/>
          <w:lang w:val="en-US"/>
        </w:rPr>
      </w:pPr>
      <w:r>
        <w:rPr>
          <w:rFonts w:ascii="Arial" w:hAnsi="Arial" w:cs="Arial"/>
          <w:szCs w:val="22"/>
          <w:lang w:val="en-US"/>
        </w:rPr>
        <w:t xml:space="preserve"> </w:t>
      </w:r>
    </w:p>
    <w:p w:rsidR="00060D85" w:rsidRDefault="00060D85" w:rsidP="00060D85">
      <w:pPr>
        <w:keepNext/>
      </w:pPr>
      <w:r>
        <w:rPr>
          <w:rFonts w:ascii="Arial" w:hAnsi="Arial" w:cs="Arial"/>
          <w:noProof/>
          <w:szCs w:val="22"/>
          <w:lang w:val="en-US"/>
        </w:rPr>
        <w:drawing>
          <wp:inline distT="0" distB="0" distL="0" distR="0" wp14:anchorId="017F5354" wp14:editId="0CAC70B2">
            <wp:extent cx="6105525" cy="3209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5525" cy="3209925"/>
                    </a:xfrm>
                    <a:prstGeom prst="rect">
                      <a:avLst/>
                    </a:prstGeom>
                    <a:noFill/>
                    <a:ln>
                      <a:noFill/>
                    </a:ln>
                  </pic:spPr>
                </pic:pic>
              </a:graphicData>
            </a:graphic>
          </wp:inline>
        </w:drawing>
      </w:r>
    </w:p>
    <w:p w:rsidR="00DB4310" w:rsidRDefault="00060D85" w:rsidP="00060D85">
      <w:pPr>
        <w:pStyle w:val="Caption"/>
      </w:pPr>
      <w:bookmarkStart w:id="6" w:name="_Ref463038704"/>
      <w:r>
        <w:t xml:space="preserve">Figure </w:t>
      </w:r>
      <w:r>
        <w:fldChar w:fldCharType="begin"/>
      </w:r>
      <w:r>
        <w:instrText xml:space="preserve"> SEQ Figure \* ARABIC </w:instrText>
      </w:r>
      <w:r>
        <w:fldChar w:fldCharType="separate"/>
      </w:r>
      <w:r>
        <w:rPr>
          <w:noProof/>
        </w:rPr>
        <w:t>3</w:t>
      </w:r>
      <w:r>
        <w:fldChar w:fldCharType="end"/>
      </w:r>
      <w:bookmarkEnd w:id="6"/>
      <w:r>
        <w:t>: Two configurations for currently defined V2V</w:t>
      </w:r>
    </w:p>
    <w:p w:rsidR="00B51A23" w:rsidRDefault="00B51A23" w:rsidP="00B51A23">
      <w:pPr>
        <w:rPr>
          <w:rFonts w:ascii="Arial" w:hAnsi="Arial" w:cs="Arial"/>
          <w:szCs w:val="22"/>
          <w:lang w:val="en-US"/>
        </w:rPr>
      </w:pPr>
      <w:r>
        <w:rPr>
          <w:rFonts w:ascii="Arial" w:hAnsi="Arial" w:cs="Arial"/>
          <w:szCs w:val="22"/>
          <w:lang w:val="en-US"/>
        </w:rPr>
        <w:t>In “Configuration 1” scheduling and interference management of V2V traffic is supported based on distributed algorithms (Mode 4) implemented between the vehicles. As mentioned earlier the distributed algorithm is based on sensing with semi-persistent transmission. Additionally, a new mechanism where resource allocation is dependent on geographical information is introduced. Such a mechanism counters near far effect arising due to in-band emissions.</w:t>
      </w:r>
    </w:p>
    <w:p w:rsidR="00B51A23" w:rsidRPr="00125826" w:rsidRDefault="00B51A23" w:rsidP="00B51A23">
      <w:pPr>
        <w:rPr>
          <w:rFonts w:eastAsia="MS Mincho"/>
          <w:szCs w:val="22"/>
          <w:lang w:eastAsia="x-none"/>
        </w:rPr>
      </w:pPr>
      <w:r>
        <w:rPr>
          <w:rFonts w:ascii="Arial" w:hAnsi="Arial" w:cs="Arial"/>
          <w:szCs w:val="22"/>
          <w:lang w:val="en-US"/>
        </w:rPr>
        <w:lastRenderedPageBreak/>
        <w:t>In “Configuration 2”</w:t>
      </w:r>
      <w:r w:rsidRPr="001F3895">
        <w:rPr>
          <w:rFonts w:ascii="Arial" w:hAnsi="Arial" w:cs="Arial"/>
          <w:szCs w:val="22"/>
          <w:lang w:val="en-US"/>
        </w:rPr>
        <w:t xml:space="preserve"> </w:t>
      </w:r>
      <w:r>
        <w:rPr>
          <w:rFonts w:ascii="Arial" w:hAnsi="Arial" w:cs="Arial"/>
          <w:szCs w:val="22"/>
          <w:lang w:val="en-US"/>
        </w:rPr>
        <w:t>scheduling and interference management of V2V traffic is assisted by eNBs (a.k.a. Mode 3) via control signaling over the Uu interface. The eNodeB will assign the resources being used for V2V signaling in a dynamic manner.</w:t>
      </w:r>
    </w:p>
    <w:p w:rsidR="00B51A23" w:rsidRPr="00B34E08" w:rsidRDefault="00B51A23" w:rsidP="00B34E08">
      <w:r>
        <w:rPr>
          <w:rFonts w:ascii="Arial" w:hAnsi="Arial" w:cs="Arial"/>
          <w:szCs w:val="22"/>
          <w:lang w:val="en-US"/>
        </w:rPr>
        <w:t>Both configurations use a dedicated carrier for V2V communications, meaning the target band is only used for PC5 based V2V communications. Also in both cases GNSS is used for time synchronization.</w:t>
      </w:r>
    </w:p>
    <w:p w:rsidR="007A3B53" w:rsidRDefault="000F338C" w:rsidP="007A3B53">
      <w:pPr>
        <w:pStyle w:val="Heading2"/>
        <w:rPr>
          <w:lang w:val="en-US"/>
        </w:rPr>
      </w:pPr>
      <w:r>
        <w:rPr>
          <w:lang w:val="en-US"/>
        </w:rPr>
        <w:t xml:space="preserve">Foreseen </w:t>
      </w:r>
      <w:r w:rsidR="007A3B53">
        <w:rPr>
          <w:lang w:val="en-US"/>
        </w:rPr>
        <w:t>Fundamental Modifications leftover into V2X</w:t>
      </w:r>
    </w:p>
    <w:p w:rsidR="0093427A" w:rsidRDefault="00B51A23" w:rsidP="00B51A23">
      <w:pPr>
        <w:rPr>
          <w:lang w:val="en-US"/>
        </w:rPr>
      </w:pPr>
      <w:r>
        <w:rPr>
          <w:lang w:val="en-US"/>
        </w:rPr>
        <w:t xml:space="preserve">There are some </w:t>
      </w:r>
      <w:r w:rsidR="0093427A">
        <w:rPr>
          <w:lang w:val="en-US"/>
        </w:rPr>
        <w:t xml:space="preserve">fundamental modifications will be foreseen. </w:t>
      </w:r>
    </w:p>
    <w:p w:rsidR="0093427A" w:rsidRPr="0093427A" w:rsidRDefault="0093427A" w:rsidP="0093427A">
      <w:pPr>
        <w:pStyle w:val="BodyText"/>
        <w:spacing w:after="240"/>
      </w:pPr>
      <w:r>
        <w:rPr>
          <w:lang w:val="en-US"/>
        </w:rPr>
        <w:t>Firstly, the physical design considering congestion control</w:t>
      </w:r>
      <w:r w:rsidR="00103732">
        <w:rPr>
          <w:lang w:val="en-US"/>
        </w:rPr>
        <w:t xml:space="preserve"> will be further discussed in RAN1</w:t>
      </w:r>
      <w:r>
        <w:rPr>
          <w:lang w:val="en-US"/>
        </w:rPr>
        <w:t xml:space="preserve">. </w:t>
      </w:r>
      <w:r w:rsidRPr="0093427A">
        <w:t>Congestion control prevents the radio channel from being congested by too many transmissions within a certain geographical area. This is achieved by placing limits on several transmitter parameters based on channel occupancy level at the moment. For example, draft ETSI EN 302 571 V2.0.0 (2016-03)</w:t>
      </w:r>
      <w:r w:rsidR="00115F74">
        <w:t xml:space="preserve"> </w:t>
      </w:r>
      <w:r w:rsidR="00115F74">
        <w:fldChar w:fldCharType="begin"/>
      </w:r>
      <w:r w:rsidR="00115F74">
        <w:instrText xml:space="preserve"> REF _Ref463037405 \r \h </w:instrText>
      </w:r>
      <w:r w:rsidR="00115F74">
        <w:fldChar w:fldCharType="separate"/>
      </w:r>
      <w:r w:rsidR="00115F74">
        <w:t>[2]</w:t>
      </w:r>
      <w:r w:rsidR="00115F74">
        <w:fldChar w:fldCharType="end"/>
      </w:r>
      <w:r w:rsidR="00115F74">
        <w:fldChar w:fldCharType="begin"/>
      </w:r>
      <w:r w:rsidR="00115F74">
        <w:instrText xml:space="preserve"> REF _Ref463037407 \r \h </w:instrText>
      </w:r>
      <w:r w:rsidR="00115F74">
        <w:fldChar w:fldCharType="separate"/>
      </w:r>
      <w:r w:rsidR="00115F74">
        <w:t>[3]</w:t>
      </w:r>
      <w:r w:rsidR="00115F74">
        <w:fldChar w:fldCharType="end"/>
      </w:r>
      <w:r w:rsidRPr="0093427A">
        <w:t xml:space="preserve"> for the 5.9GHz ITS band in Europe specifies regulatory limits on maximum T</w:t>
      </w:r>
      <w:r w:rsidRPr="0093427A">
        <w:rPr>
          <w:vertAlign w:val="subscript"/>
        </w:rPr>
        <w:t>on</w:t>
      </w:r>
      <w:r w:rsidRPr="0093427A">
        <w:t>, minimum T</w:t>
      </w:r>
      <w:r w:rsidRPr="0093427A">
        <w:rPr>
          <w:vertAlign w:val="subscript"/>
        </w:rPr>
        <w:t>off</w:t>
      </w:r>
      <w:r w:rsidRPr="0093427A">
        <w:t xml:space="preserve"> and maximum Duty Cycle of UE transmitters based on the channel occupancy level measured as Channel Busy Ratio (CBR), where </w:t>
      </w:r>
    </w:p>
    <w:p w:rsidR="0093427A" w:rsidRPr="0093427A" w:rsidRDefault="0093427A" w:rsidP="0093427A">
      <w:pPr>
        <w:pStyle w:val="BodyText"/>
        <w:numPr>
          <w:ilvl w:val="0"/>
          <w:numId w:val="38"/>
        </w:numPr>
        <w:overflowPunct/>
        <w:autoSpaceDE/>
        <w:autoSpaceDN/>
        <w:adjustRightInd/>
        <w:spacing w:after="240"/>
        <w:textAlignment w:val="auto"/>
      </w:pPr>
      <w:r w:rsidRPr="0093427A">
        <w:t>T</w:t>
      </w:r>
      <w:r w:rsidRPr="0093427A">
        <w:rPr>
          <w:vertAlign w:val="subscript"/>
        </w:rPr>
        <w:t>on</w:t>
      </w:r>
      <w:r w:rsidRPr="0093427A">
        <w:t xml:space="preserve"> is the current duration of a transmission,</w:t>
      </w:r>
    </w:p>
    <w:p w:rsidR="0093427A" w:rsidRPr="0093427A" w:rsidRDefault="0093427A" w:rsidP="0093427A">
      <w:pPr>
        <w:pStyle w:val="BodyText"/>
        <w:numPr>
          <w:ilvl w:val="0"/>
          <w:numId w:val="38"/>
        </w:numPr>
        <w:overflowPunct/>
        <w:autoSpaceDE/>
        <w:autoSpaceDN/>
        <w:adjustRightInd/>
        <w:spacing w:after="240"/>
        <w:textAlignment w:val="auto"/>
      </w:pPr>
      <w:r w:rsidRPr="0093427A">
        <w:t>T</w:t>
      </w:r>
      <w:r w:rsidRPr="0093427A">
        <w:rPr>
          <w:vertAlign w:val="subscript"/>
        </w:rPr>
        <w:t>off</w:t>
      </w:r>
      <w:r w:rsidRPr="0093427A">
        <w:t xml:space="preserve"> is the current allowed minimum time between two consecutive transmissions, </w:t>
      </w:r>
    </w:p>
    <w:p w:rsidR="0093427A" w:rsidRPr="0093427A" w:rsidRDefault="0093427A" w:rsidP="0093427A">
      <w:pPr>
        <w:pStyle w:val="BodyText"/>
        <w:numPr>
          <w:ilvl w:val="0"/>
          <w:numId w:val="38"/>
        </w:numPr>
        <w:overflowPunct/>
        <w:autoSpaceDE/>
        <w:autoSpaceDN/>
        <w:adjustRightInd/>
        <w:spacing w:after="240"/>
        <w:textAlignment w:val="auto"/>
      </w:pPr>
      <w:r w:rsidRPr="0093427A">
        <w:t>Duty Cycle is the ratio expressed as a percentage of the maximum transmitter “on” time on one carrier frequency, relative to 1 second</w:t>
      </w:r>
      <w:r w:rsidR="005F254C">
        <w:t xml:space="preserve"> </w:t>
      </w:r>
      <w:r w:rsidR="005F254C">
        <w:fldChar w:fldCharType="begin"/>
      </w:r>
      <w:r w:rsidR="005F254C">
        <w:instrText xml:space="preserve"> REF _Ref463037407 \r \h </w:instrText>
      </w:r>
      <w:r w:rsidR="005F254C">
        <w:fldChar w:fldCharType="separate"/>
      </w:r>
      <w:r w:rsidR="005F254C">
        <w:t>[3]</w:t>
      </w:r>
      <w:r w:rsidR="005F254C">
        <w:fldChar w:fldCharType="end"/>
      </w:r>
      <w:r w:rsidR="005F254C">
        <w:t>.</w:t>
      </w:r>
    </w:p>
    <w:p w:rsidR="002A127A" w:rsidRDefault="009B214C" w:rsidP="00B51A23">
      <w:pPr>
        <w:rPr>
          <w:lang w:val="en-US"/>
        </w:rPr>
      </w:pPr>
      <w:r>
        <w:rPr>
          <w:lang w:val="en-US"/>
        </w:rPr>
        <w:t xml:space="preserve">Secondly, </w:t>
      </w:r>
      <w:r w:rsidR="00E837CF">
        <w:rPr>
          <w:lang w:val="en-US"/>
        </w:rPr>
        <w:t xml:space="preserve">in currently defined V2V configurations, a dedicated carrier for V2V communications are used. The configuration </w:t>
      </w:r>
      <w:r w:rsidR="00F91E2D">
        <w:rPr>
          <w:lang w:val="en-US"/>
        </w:rPr>
        <w:t xml:space="preserve">wherein a shared carrier is used for V2V communication and cellular communication will be continually discussed in RAN1. </w:t>
      </w:r>
    </w:p>
    <w:p w:rsidR="00B51A23" w:rsidRPr="00B51A23" w:rsidRDefault="002A127A" w:rsidP="00B51A23">
      <w:pPr>
        <w:rPr>
          <w:lang w:val="en-US"/>
        </w:rPr>
      </w:pPr>
      <w:r>
        <w:rPr>
          <w:lang w:val="en-US"/>
        </w:rPr>
        <w:t xml:space="preserve">Thirdly, GNSS is used for time synchronization in both currently defined configuration. </w:t>
      </w:r>
      <w:r w:rsidR="00C27AFC">
        <w:rPr>
          <w:lang w:val="en-US"/>
        </w:rPr>
        <w:t xml:space="preserve">However, </w:t>
      </w:r>
      <w:r>
        <w:rPr>
          <w:lang w:val="en-US"/>
        </w:rPr>
        <w:t xml:space="preserve">Synchronization based on </w:t>
      </w:r>
      <w:r w:rsidR="000F338C">
        <w:rPr>
          <w:lang w:val="en-US"/>
        </w:rPr>
        <w:t>eNB is</w:t>
      </w:r>
      <w:r w:rsidR="00C27AFC">
        <w:rPr>
          <w:lang w:val="en-US"/>
        </w:rPr>
        <w:t xml:space="preserve"> also very important, and it </w:t>
      </w:r>
      <w:r>
        <w:rPr>
          <w:lang w:val="en-US"/>
        </w:rPr>
        <w:t xml:space="preserve">will be further discussed in RAN1. </w:t>
      </w:r>
      <w:r w:rsidR="0093427A">
        <w:rPr>
          <w:lang w:val="en-US"/>
        </w:rPr>
        <w:t xml:space="preserve"> </w:t>
      </w:r>
    </w:p>
    <w:p w:rsidR="0034611F" w:rsidRDefault="00647B8A" w:rsidP="0034611F">
      <w:pPr>
        <w:pStyle w:val="Heading1"/>
        <w:rPr>
          <w:lang w:val="en-US"/>
        </w:rPr>
      </w:pPr>
      <w:r>
        <w:rPr>
          <w:lang w:val="en-US"/>
        </w:rPr>
        <w:t>Discussion</w:t>
      </w:r>
    </w:p>
    <w:p w:rsidR="000F338C" w:rsidRDefault="000F338C" w:rsidP="000F338C">
      <w:pPr>
        <w:pStyle w:val="Heading2"/>
        <w:rPr>
          <w:lang w:val="en-US"/>
        </w:rPr>
      </w:pPr>
      <w:r>
        <w:rPr>
          <w:lang w:val="en-US"/>
        </w:rPr>
        <w:t>General</w:t>
      </w:r>
    </w:p>
    <w:p w:rsidR="000F338C" w:rsidRDefault="000F338C" w:rsidP="000F338C">
      <w:pPr>
        <w:rPr>
          <w:lang w:val="en-US"/>
        </w:rPr>
      </w:pPr>
      <w:r>
        <w:rPr>
          <w:lang w:val="en-US"/>
        </w:rPr>
        <w:t xml:space="preserve">As discussed in the background section, we have two parts, one part is the fundamental modifications introduced into V2V and the other part is the foreseen fundamental modifications leftover into V2X. </w:t>
      </w:r>
      <w:r w:rsidR="0097651A">
        <w:rPr>
          <w:lang w:val="en-US"/>
        </w:rPr>
        <w:t xml:space="preserve">As a general rule, we can define requirements first for the fundamental modifications which have been introduced in V2V at the earlier phase and add new requirements for the foreseen fundamental modifications leftover into V2X. </w:t>
      </w:r>
    </w:p>
    <w:p w:rsidR="00084976" w:rsidRDefault="004D2BCC" w:rsidP="00A85F0A">
      <w:pPr>
        <w:pStyle w:val="Heading3"/>
        <w:rPr>
          <w:lang w:val="en-US"/>
        </w:rPr>
      </w:pPr>
      <w:r>
        <w:rPr>
          <w:lang w:val="en-US"/>
        </w:rPr>
        <w:t>High level deployment configurations</w:t>
      </w:r>
    </w:p>
    <w:p w:rsidR="00E95726" w:rsidRDefault="00714122" w:rsidP="00714122">
      <w:pPr>
        <w:rPr>
          <w:lang w:val="en-US"/>
        </w:rPr>
      </w:pPr>
      <w:r>
        <w:rPr>
          <w:lang w:val="en-US"/>
        </w:rPr>
        <w:t xml:space="preserve">As discussed in the background, </w:t>
      </w:r>
      <w:r w:rsidR="00E95726">
        <w:rPr>
          <w:lang w:val="en-US"/>
        </w:rPr>
        <w:t xml:space="preserve">two </w:t>
      </w:r>
      <w:r>
        <w:rPr>
          <w:lang w:val="en-US"/>
        </w:rPr>
        <w:t>configurations</w:t>
      </w:r>
      <w:r w:rsidR="00E95726">
        <w:rPr>
          <w:lang w:val="en-US"/>
        </w:rPr>
        <w:t xml:space="preserve">, which are shown in </w:t>
      </w:r>
      <w:r w:rsidR="00E95726">
        <w:rPr>
          <w:lang w:val="en-US"/>
        </w:rPr>
        <w:fldChar w:fldCharType="begin"/>
      </w:r>
      <w:r w:rsidR="00E95726">
        <w:rPr>
          <w:lang w:val="en-US"/>
        </w:rPr>
        <w:instrText xml:space="preserve"> REF _Ref463038704 \h </w:instrText>
      </w:r>
      <w:r w:rsidR="00E95726">
        <w:rPr>
          <w:lang w:val="en-US"/>
        </w:rPr>
      </w:r>
      <w:r w:rsidR="00E95726">
        <w:rPr>
          <w:lang w:val="en-US"/>
        </w:rPr>
        <w:fldChar w:fldCharType="separate"/>
      </w:r>
      <w:r w:rsidR="00E95726">
        <w:t xml:space="preserve">Figure </w:t>
      </w:r>
      <w:r w:rsidR="00E95726">
        <w:rPr>
          <w:noProof/>
        </w:rPr>
        <w:t>3</w:t>
      </w:r>
      <w:r w:rsidR="00E95726">
        <w:rPr>
          <w:lang w:val="en-US"/>
        </w:rPr>
        <w:fldChar w:fldCharType="end"/>
      </w:r>
      <w:r w:rsidR="00E95726">
        <w:rPr>
          <w:lang w:val="en-US"/>
        </w:rPr>
        <w:t xml:space="preserve">. These two configurations are equally important for the V2V. Hence, we propose RAN4 consider both of them. </w:t>
      </w:r>
    </w:p>
    <w:p w:rsidR="007C58C4" w:rsidRDefault="007C58C4" w:rsidP="00671A08">
      <w:pPr>
        <w:rPr>
          <w:b/>
          <w:lang w:val="en-US"/>
        </w:rPr>
      </w:pPr>
      <w:r w:rsidRPr="007C58C4">
        <w:rPr>
          <w:b/>
          <w:lang w:val="en-US"/>
        </w:rPr>
        <w:t>Proposal</w:t>
      </w:r>
      <w:r w:rsidR="00E95726">
        <w:rPr>
          <w:b/>
          <w:lang w:val="en-US"/>
        </w:rPr>
        <w:t xml:space="preserve"> 1</w:t>
      </w:r>
      <w:r w:rsidRPr="007C58C4">
        <w:rPr>
          <w:b/>
          <w:lang w:val="en-US"/>
        </w:rPr>
        <w:t xml:space="preserve">: </w:t>
      </w:r>
      <w:r w:rsidR="00E95726">
        <w:rPr>
          <w:b/>
          <w:lang w:val="en-US"/>
        </w:rPr>
        <w:t xml:space="preserve">Both configuration#1 and configuration#2 </w:t>
      </w:r>
      <w:r w:rsidR="00F85BCE">
        <w:rPr>
          <w:b/>
          <w:lang w:val="en-US"/>
        </w:rPr>
        <w:t xml:space="preserve">shall be </w:t>
      </w:r>
      <w:r w:rsidR="00E95726">
        <w:rPr>
          <w:b/>
          <w:lang w:val="en-US"/>
        </w:rPr>
        <w:t xml:space="preserve">considered for RAN4 </w:t>
      </w:r>
      <w:r>
        <w:rPr>
          <w:b/>
          <w:lang w:val="en-US"/>
        </w:rPr>
        <w:t xml:space="preserve">V2V </w:t>
      </w:r>
      <w:r w:rsidR="00E95726">
        <w:rPr>
          <w:b/>
          <w:lang w:val="en-US"/>
        </w:rPr>
        <w:t>performance requirements.</w:t>
      </w:r>
    </w:p>
    <w:p w:rsidR="00A85F0A" w:rsidRDefault="00A85F0A" w:rsidP="00671A08">
      <w:pPr>
        <w:rPr>
          <w:b/>
          <w:lang w:val="en-US"/>
        </w:rPr>
      </w:pPr>
    </w:p>
    <w:p w:rsidR="00084976" w:rsidRDefault="00AE5FB6" w:rsidP="00A85F0A">
      <w:pPr>
        <w:pStyle w:val="Heading3"/>
        <w:rPr>
          <w:lang w:val="en-US"/>
        </w:rPr>
      </w:pPr>
      <w:r w:rsidRPr="00F825AD">
        <w:rPr>
          <w:lang w:val="en-US"/>
        </w:rPr>
        <w:t>Synchronization issue</w:t>
      </w:r>
    </w:p>
    <w:p w:rsidR="00A85F0A" w:rsidRPr="00A85F0A" w:rsidRDefault="00A85F0A" w:rsidP="00A85F0A">
      <w:pPr>
        <w:rPr>
          <w:lang w:val="en-US"/>
        </w:rPr>
      </w:pPr>
      <w:r>
        <w:rPr>
          <w:lang w:val="en-US"/>
        </w:rPr>
        <w:t xml:space="preserve">In current defined V2V deployment configurations, GNSS is used for time synchronization. </w:t>
      </w:r>
      <w:r w:rsidR="008F19F5">
        <w:rPr>
          <w:lang w:val="en-US"/>
        </w:rPr>
        <w:t xml:space="preserve">In Rel-12/Rel-13, we only defined requirements for SLSS-based synchronization and eNB-based synchronization. In V2V, </w:t>
      </w:r>
      <w:r w:rsidR="008F19F5">
        <w:rPr>
          <w:lang w:val="en-US"/>
        </w:rPr>
        <w:lastRenderedPageBreak/>
        <w:t xml:space="preserve">GNSS-based synchronization is defined and never tested, it is valuable to define performance requirements based on GNSS-based synchronization.  </w:t>
      </w:r>
    </w:p>
    <w:p w:rsidR="00FE6CA5" w:rsidRDefault="008467F9" w:rsidP="00F825AD">
      <w:pPr>
        <w:rPr>
          <w:b/>
          <w:lang w:val="en-US"/>
        </w:rPr>
      </w:pPr>
      <w:r w:rsidRPr="00E17074">
        <w:rPr>
          <w:b/>
          <w:lang w:val="en-US"/>
        </w:rPr>
        <w:t>Proposal</w:t>
      </w:r>
      <w:r w:rsidR="00CB0CD3">
        <w:rPr>
          <w:b/>
          <w:lang w:val="en-US"/>
        </w:rPr>
        <w:t xml:space="preserve"> 2</w:t>
      </w:r>
      <w:r w:rsidRPr="00E17074">
        <w:rPr>
          <w:b/>
          <w:lang w:val="en-US"/>
        </w:rPr>
        <w:t xml:space="preserve">: </w:t>
      </w:r>
      <w:r w:rsidR="008F19F5">
        <w:rPr>
          <w:b/>
          <w:lang w:val="en-US"/>
        </w:rPr>
        <w:t xml:space="preserve">Performance requirements are defined based on </w:t>
      </w:r>
      <w:r w:rsidRPr="00E17074">
        <w:rPr>
          <w:rFonts w:hint="eastAsia"/>
          <w:b/>
          <w:lang w:val="en-US"/>
        </w:rPr>
        <w:t>GNSS</w:t>
      </w:r>
      <w:r w:rsidRPr="00E17074">
        <w:rPr>
          <w:b/>
          <w:lang w:val="en-US"/>
        </w:rPr>
        <w:t>-based synchronization in V2V work item</w:t>
      </w:r>
    </w:p>
    <w:p w:rsidR="00722AB5" w:rsidRDefault="00FE6CA5" w:rsidP="00FC0CCF">
      <w:pPr>
        <w:pStyle w:val="Heading3"/>
        <w:rPr>
          <w:lang w:val="en-US"/>
        </w:rPr>
      </w:pPr>
      <w:r w:rsidRPr="00FE6CA5">
        <w:rPr>
          <w:lang w:val="en-US"/>
        </w:rPr>
        <w:t>Doppler impact</w:t>
      </w:r>
    </w:p>
    <w:p w:rsidR="00FE6CA5" w:rsidRDefault="0006014E" w:rsidP="00893BCF">
      <w:pPr>
        <w:rPr>
          <w:lang w:val="en-US"/>
        </w:rPr>
      </w:pPr>
      <w:r>
        <w:rPr>
          <w:lang w:val="en-US"/>
        </w:rPr>
        <w:t xml:space="preserve">According to RAN1 </w:t>
      </w:r>
      <w:r w:rsidR="00893BCF">
        <w:rPr>
          <w:lang w:val="en-US"/>
        </w:rPr>
        <w:t xml:space="preserve">agreements and RAN request, in additional to normal Doppler as cellular, high Doppler associated with relative speeds of up to 500kph and at high frequency (5.9GHz) shall be supported. The high Doppler and high frequency have great impact on UE performance. Thus, it is very valuable to design test case to cover high Doppler and high frequency case. </w:t>
      </w:r>
    </w:p>
    <w:p w:rsidR="00FD1133" w:rsidRDefault="00FD1133" w:rsidP="00893BCF">
      <w:pPr>
        <w:rPr>
          <w:lang w:val="en-US"/>
        </w:rPr>
      </w:pPr>
    </w:p>
    <w:p w:rsidR="00FE6CA5" w:rsidRDefault="00FE6CA5" w:rsidP="00FE6CA5">
      <w:pPr>
        <w:rPr>
          <w:b/>
          <w:lang w:val="en-US"/>
        </w:rPr>
      </w:pPr>
      <w:r w:rsidRPr="00FE6CA5">
        <w:rPr>
          <w:b/>
          <w:lang w:val="en-US"/>
        </w:rPr>
        <w:t>Proposal</w:t>
      </w:r>
      <w:r w:rsidR="004C3EC6">
        <w:rPr>
          <w:b/>
          <w:lang w:val="en-US"/>
        </w:rPr>
        <w:t xml:space="preserve"> 3</w:t>
      </w:r>
      <w:r w:rsidRPr="00FE6CA5">
        <w:rPr>
          <w:b/>
          <w:lang w:val="en-US"/>
        </w:rPr>
        <w:t>:</w:t>
      </w:r>
      <w:r>
        <w:rPr>
          <w:b/>
          <w:lang w:val="en-US"/>
        </w:rPr>
        <w:t xml:space="preserve"> </w:t>
      </w:r>
      <w:r w:rsidR="00C561E3">
        <w:rPr>
          <w:b/>
          <w:lang w:val="en-US"/>
        </w:rPr>
        <w:t>B</w:t>
      </w:r>
      <w:r>
        <w:rPr>
          <w:b/>
          <w:lang w:val="en-US"/>
        </w:rPr>
        <w:t>oth higher Doppler</w:t>
      </w:r>
      <w:r w:rsidR="00C561E3">
        <w:rPr>
          <w:b/>
          <w:lang w:val="en-US"/>
        </w:rPr>
        <w:t xml:space="preserve">/high frequency </w:t>
      </w:r>
      <w:r>
        <w:rPr>
          <w:b/>
          <w:lang w:val="en-US"/>
        </w:rPr>
        <w:t>cases and lower Doppler cases shall be covered</w:t>
      </w:r>
      <w:r w:rsidR="00C561E3">
        <w:rPr>
          <w:b/>
          <w:lang w:val="en-US"/>
        </w:rPr>
        <w:t xml:space="preserve"> for performance requirements of V2V physical channels. </w:t>
      </w:r>
    </w:p>
    <w:p w:rsidR="00FD1133" w:rsidRDefault="00FD1133" w:rsidP="00FE6CA5">
      <w:pPr>
        <w:rPr>
          <w:b/>
          <w:lang w:val="en-US"/>
        </w:rPr>
      </w:pPr>
    </w:p>
    <w:p w:rsidR="00FE6CA5" w:rsidRDefault="005F3EE3" w:rsidP="00FC0CCF">
      <w:pPr>
        <w:pStyle w:val="Heading3"/>
        <w:rPr>
          <w:lang w:val="en-US"/>
        </w:rPr>
      </w:pPr>
      <w:r w:rsidRPr="005F3EE3">
        <w:rPr>
          <w:lang w:val="en-US"/>
        </w:rPr>
        <w:t>Multiplexing</w:t>
      </w:r>
      <w:r w:rsidR="009850AD">
        <w:rPr>
          <w:lang w:val="en-US"/>
        </w:rPr>
        <w:t xml:space="preserve"> of SA and PSSCH</w:t>
      </w:r>
    </w:p>
    <w:p w:rsidR="005D7FBC" w:rsidRPr="005D7FBC" w:rsidRDefault="005D7FBC" w:rsidP="005D7FBC">
      <w:pPr>
        <w:rPr>
          <w:lang w:val="en-US"/>
        </w:rPr>
      </w:pPr>
      <w:r>
        <w:rPr>
          <w:lang w:val="en-US"/>
        </w:rPr>
        <w:t xml:space="preserve">As discussed in the background section, SA or PSCCH can be multiplexed with PSSCH with FDM manner or with TDM manner. With FDM manner, it can reduce the latency requirements and enhance the system level performance under high density. Thus, SA FDM with PSSCH is preferable in performance requirements test. </w:t>
      </w:r>
    </w:p>
    <w:p w:rsidR="003A43C4" w:rsidRDefault="00ED4A53" w:rsidP="003A43C4">
      <w:pPr>
        <w:rPr>
          <w:lang w:val="en-US"/>
        </w:rPr>
      </w:pPr>
      <w:r>
        <w:rPr>
          <w:lang w:val="en-US"/>
        </w:rPr>
        <w:t xml:space="preserve">For FDM, there are two ways for multiplexing. In the first way, data transmissions associated with said scheduling assignments are occupying adjacent RBs in the same subframe. In the second way, </w:t>
      </w:r>
      <w:r w:rsidR="00CD69DB">
        <w:rPr>
          <w:lang w:val="en-US"/>
        </w:rPr>
        <w:t>data transmission</w:t>
      </w:r>
      <w:r>
        <w:rPr>
          <w:lang w:val="en-US"/>
        </w:rPr>
        <w:t xml:space="preserve"> associated with said scheduling </w:t>
      </w:r>
      <w:r w:rsidR="00CD69DB">
        <w:rPr>
          <w:lang w:val="en-US"/>
        </w:rPr>
        <w:t>assignments are</w:t>
      </w:r>
      <w:r>
        <w:rPr>
          <w:lang w:val="en-US"/>
        </w:rPr>
        <w:t xml:space="preserve"> occupying non-adjacent RBs. </w:t>
      </w:r>
      <w:r w:rsidR="00CD69DB">
        <w:rPr>
          <w:lang w:val="en-US"/>
        </w:rPr>
        <w:t>The first resource allocation is more efficient, thus, a</w:t>
      </w:r>
      <w:r w:rsidR="003A43C4" w:rsidRPr="003A43C4">
        <w:rPr>
          <w:lang w:val="en-US"/>
        </w:rPr>
        <w:t xml:space="preserve">djacent </w:t>
      </w:r>
      <w:r w:rsidR="00CD69DB">
        <w:rPr>
          <w:lang w:val="en-US"/>
        </w:rPr>
        <w:t xml:space="preserve">RBs allocation for SA and its associated PSSCH </w:t>
      </w:r>
      <w:r w:rsidR="003A43C4" w:rsidRPr="003A43C4">
        <w:rPr>
          <w:lang w:val="en-US"/>
        </w:rPr>
        <w:t>transmission is preferable</w:t>
      </w:r>
      <w:r w:rsidR="007111D1">
        <w:rPr>
          <w:lang w:val="en-US"/>
        </w:rPr>
        <w:t>.</w:t>
      </w:r>
    </w:p>
    <w:p w:rsidR="007111D1" w:rsidRDefault="007111D1" w:rsidP="003A43C4">
      <w:pPr>
        <w:rPr>
          <w:lang w:val="en-US"/>
        </w:rPr>
      </w:pPr>
      <w:r w:rsidRPr="007111D1">
        <w:rPr>
          <w:b/>
          <w:lang w:val="en-US"/>
        </w:rPr>
        <w:t>Proposal 4</w:t>
      </w:r>
      <w:r>
        <w:rPr>
          <w:lang w:val="en-US"/>
        </w:rPr>
        <w:t xml:space="preserve">: </w:t>
      </w:r>
      <w:r w:rsidRPr="007111D1">
        <w:rPr>
          <w:b/>
          <w:lang w:val="en-US"/>
        </w:rPr>
        <w:t xml:space="preserve">Adjacent RBs </w:t>
      </w:r>
      <w:r>
        <w:rPr>
          <w:b/>
          <w:lang w:val="en-US"/>
        </w:rPr>
        <w:t xml:space="preserve">are </w:t>
      </w:r>
      <w:r w:rsidRPr="007111D1">
        <w:rPr>
          <w:b/>
          <w:lang w:val="en-US"/>
        </w:rPr>
        <w:t>allocated for SA and its associated PSSCH transmission in the same subframe.</w:t>
      </w:r>
      <w:r>
        <w:rPr>
          <w:lang w:val="en-US"/>
        </w:rPr>
        <w:t xml:space="preserve">  </w:t>
      </w:r>
    </w:p>
    <w:p w:rsidR="00FD1133" w:rsidRPr="003A43C4" w:rsidRDefault="00FD1133" w:rsidP="003A43C4">
      <w:pPr>
        <w:rPr>
          <w:lang w:val="en-US"/>
        </w:rPr>
      </w:pPr>
    </w:p>
    <w:p w:rsidR="008B0257" w:rsidRDefault="00165DB3" w:rsidP="00FC0CCF">
      <w:pPr>
        <w:pStyle w:val="Heading3"/>
        <w:rPr>
          <w:lang w:val="en-US"/>
        </w:rPr>
      </w:pPr>
      <w:r>
        <w:rPr>
          <w:lang w:val="en-US"/>
        </w:rPr>
        <w:t>Physical c</w:t>
      </w:r>
      <w:r w:rsidR="008B0257">
        <w:rPr>
          <w:lang w:val="en-US"/>
        </w:rPr>
        <w:t>hannels for test</w:t>
      </w:r>
    </w:p>
    <w:p w:rsidR="00165DB3" w:rsidRPr="00165DB3" w:rsidRDefault="00C93664" w:rsidP="00165DB3">
      <w:pPr>
        <w:rPr>
          <w:lang w:val="en-US"/>
        </w:rPr>
      </w:pPr>
      <w:r>
        <w:rPr>
          <w:lang w:val="en-US"/>
        </w:rPr>
        <w:t xml:space="preserve">In V2V, due to the change of RS structure change, as discussed in Section </w:t>
      </w:r>
      <w:r>
        <w:rPr>
          <w:lang w:val="en-US"/>
        </w:rPr>
        <w:fldChar w:fldCharType="begin"/>
      </w:r>
      <w:r>
        <w:rPr>
          <w:lang w:val="en-US"/>
        </w:rPr>
        <w:instrText xml:space="preserve"> REF _Ref463040604 \r \h </w:instrText>
      </w:r>
      <w:r>
        <w:rPr>
          <w:lang w:val="en-US"/>
        </w:rPr>
      </w:r>
      <w:r>
        <w:rPr>
          <w:lang w:val="en-US"/>
        </w:rPr>
        <w:fldChar w:fldCharType="separate"/>
      </w:r>
      <w:r>
        <w:rPr>
          <w:lang w:val="en-US"/>
        </w:rPr>
        <w:t>2.1</w:t>
      </w:r>
      <w:r>
        <w:rPr>
          <w:lang w:val="en-US"/>
        </w:rPr>
        <w:fldChar w:fldCharType="end"/>
      </w:r>
      <w:r>
        <w:rPr>
          <w:lang w:val="en-US"/>
        </w:rPr>
        <w:t>, and the change of SA and PSSCH multiplexing, and change of synchronization, all the performance requirements defined in Rel-12 cannot be reused, thus</w:t>
      </w:r>
      <w:r w:rsidR="007111D1">
        <w:rPr>
          <w:lang w:val="en-US"/>
        </w:rPr>
        <w:t xml:space="preserve">, RAN4 need redefine all the performance requirements for </w:t>
      </w:r>
    </w:p>
    <w:p w:rsidR="008B0257" w:rsidRDefault="008B0257" w:rsidP="008B0257">
      <w:pPr>
        <w:numPr>
          <w:ilvl w:val="0"/>
          <w:numId w:val="33"/>
        </w:numPr>
        <w:rPr>
          <w:lang w:val="en-US"/>
        </w:rPr>
      </w:pPr>
      <w:r>
        <w:rPr>
          <w:lang w:val="en-US"/>
        </w:rPr>
        <w:t>PSSCH</w:t>
      </w:r>
    </w:p>
    <w:p w:rsidR="008B0257" w:rsidRDefault="008B0257" w:rsidP="008B0257">
      <w:pPr>
        <w:numPr>
          <w:ilvl w:val="0"/>
          <w:numId w:val="33"/>
        </w:numPr>
        <w:rPr>
          <w:lang w:val="en-US"/>
        </w:rPr>
      </w:pPr>
      <w:r>
        <w:rPr>
          <w:lang w:val="en-US"/>
        </w:rPr>
        <w:t>PSCCH</w:t>
      </w:r>
    </w:p>
    <w:p w:rsidR="008B0257" w:rsidRDefault="008B0257" w:rsidP="008B0257">
      <w:pPr>
        <w:numPr>
          <w:ilvl w:val="0"/>
          <w:numId w:val="33"/>
        </w:numPr>
        <w:rPr>
          <w:lang w:val="en-US"/>
        </w:rPr>
      </w:pPr>
      <w:r w:rsidRPr="008B0257">
        <w:rPr>
          <w:lang w:val="en-US"/>
        </w:rPr>
        <w:t>PSBCH</w:t>
      </w:r>
    </w:p>
    <w:p w:rsidR="008B0257" w:rsidRDefault="008B0257" w:rsidP="008B0257">
      <w:pPr>
        <w:rPr>
          <w:b/>
          <w:lang w:val="en-US"/>
        </w:rPr>
      </w:pPr>
      <w:r w:rsidRPr="00712F33">
        <w:rPr>
          <w:b/>
          <w:lang w:val="en-US"/>
        </w:rPr>
        <w:t>Proposal</w:t>
      </w:r>
      <w:r w:rsidR="007D6C1B">
        <w:rPr>
          <w:b/>
          <w:lang w:val="en-US"/>
        </w:rPr>
        <w:t xml:space="preserve"> 5</w:t>
      </w:r>
      <w:r>
        <w:rPr>
          <w:b/>
          <w:lang w:val="en-US"/>
        </w:rPr>
        <w:t xml:space="preserve">: </w:t>
      </w:r>
      <w:r w:rsidR="007111D1">
        <w:rPr>
          <w:b/>
          <w:lang w:val="en-US"/>
        </w:rPr>
        <w:t xml:space="preserve">RAN4 should redefine all performance requirements for PSSCH, PSCCH, and PSBCH. </w:t>
      </w:r>
    </w:p>
    <w:p w:rsidR="00FD1133" w:rsidRDefault="00FD1133" w:rsidP="008B0257">
      <w:pPr>
        <w:rPr>
          <w:b/>
          <w:lang w:val="en-US"/>
        </w:rPr>
      </w:pPr>
    </w:p>
    <w:p w:rsidR="00797A3F" w:rsidRDefault="00797A3F" w:rsidP="00FC0CCF">
      <w:pPr>
        <w:pStyle w:val="Heading3"/>
        <w:rPr>
          <w:lang w:val="en-US"/>
        </w:rPr>
      </w:pPr>
      <w:r>
        <w:rPr>
          <w:lang w:val="en-US"/>
        </w:rPr>
        <w:t>SDR test</w:t>
      </w:r>
    </w:p>
    <w:p w:rsidR="009B3F54" w:rsidRDefault="0072369C" w:rsidP="009B3F54">
      <w:pPr>
        <w:rPr>
          <w:lang w:val="en-US"/>
        </w:rPr>
      </w:pPr>
      <w:r>
        <w:rPr>
          <w:lang w:val="en-US"/>
        </w:rPr>
        <w:t>In Rel-12, SDR test are defined for side link. In Rel-14, The discussion on UE capability is on-going. The capability for V2V may be different from what we have defined in Rel-12 D2D. Thus, SDR test for Rel-12 need to be redesigned for V2V</w:t>
      </w:r>
      <w:r w:rsidR="003C42AD">
        <w:rPr>
          <w:lang w:val="en-US"/>
        </w:rPr>
        <w:t xml:space="preserve">. </w:t>
      </w:r>
    </w:p>
    <w:p w:rsidR="00797A3F" w:rsidRDefault="00797A3F" w:rsidP="00797A3F">
      <w:pPr>
        <w:rPr>
          <w:b/>
          <w:lang w:val="en-US"/>
        </w:rPr>
      </w:pPr>
      <w:r w:rsidRPr="00712F33">
        <w:rPr>
          <w:b/>
          <w:lang w:val="en-US"/>
        </w:rPr>
        <w:t>Proposal</w:t>
      </w:r>
      <w:r w:rsidR="003C42AD">
        <w:rPr>
          <w:b/>
          <w:lang w:val="en-US"/>
        </w:rPr>
        <w:t xml:space="preserve"> 6</w:t>
      </w:r>
      <w:r>
        <w:rPr>
          <w:b/>
          <w:lang w:val="en-US"/>
        </w:rPr>
        <w:t xml:space="preserve">: </w:t>
      </w:r>
      <w:r w:rsidR="003C42AD">
        <w:rPr>
          <w:b/>
          <w:lang w:val="en-US"/>
        </w:rPr>
        <w:t xml:space="preserve">New </w:t>
      </w:r>
      <w:r>
        <w:rPr>
          <w:b/>
          <w:lang w:val="en-US"/>
        </w:rPr>
        <w:t xml:space="preserve">SDR test </w:t>
      </w:r>
      <w:r w:rsidR="003C42AD">
        <w:rPr>
          <w:b/>
          <w:lang w:val="en-US"/>
        </w:rPr>
        <w:t xml:space="preserve">may be need </w:t>
      </w:r>
      <w:r>
        <w:rPr>
          <w:b/>
          <w:lang w:val="en-US"/>
        </w:rPr>
        <w:t xml:space="preserve">to verify the UE maximum processing capability </w:t>
      </w:r>
    </w:p>
    <w:p w:rsidR="004D7ED3" w:rsidRDefault="004D7ED3" w:rsidP="004D7ED3">
      <w:pPr>
        <w:pStyle w:val="Heading1"/>
        <w:rPr>
          <w:lang w:val="en-US"/>
        </w:rPr>
      </w:pPr>
      <w:r>
        <w:rPr>
          <w:rFonts w:hint="eastAsia"/>
          <w:lang w:val="en-US"/>
        </w:rPr>
        <w:lastRenderedPageBreak/>
        <w:t>Conclusion</w:t>
      </w:r>
    </w:p>
    <w:p w:rsidR="007B4033" w:rsidRDefault="00B3684C" w:rsidP="004D7ED3">
      <w:pPr>
        <w:rPr>
          <w:lang w:val="en-US"/>
        </w:rPr>
      </w:pPr>
      <w:r>
        <w:rPr>
          <w:rFonts w:hint="eastAsia"/>
          <w:lang w:val="en-US"/>
        </w:rPr>
        <w:t xml:space="preserve">In this paper, </w:t>
      </w:r>
      <w:r w:rsidR="00FC0CCF">
        <w:rPr>
          <w:lang w:val="en-US"/>
        </w:rPr>
        <w:t>our view on V2V demodulation is shared. We have the following proposals:</w:t>
      </w:r>
    </w:p>
    <w:p w:rsidR="00FC0CCF" w:rsidRDefault="00FC0CCF" w:rsidP="00FC0CCF">
      <w:pPr>
        <w:rPr>
          <w:b/>
          <w:lang w:val="en-US"/>
        </w:rPr>
      </w:pPr>
      <w:r w:rsidRPr="007C58C4">
        <w:rPr>
          <w:b/>
          <w:lang w:val="en-US"/>
        </w:rPr>
        <w:t>Proposal</w:t>
      </w:r>
      <w:r>
        <w:rPr>
          <w:b/>
          <w:lang w:val="en-US"/>
        </w:rPr>
        <w:t xml:space="preserve"> 1</w:t>
      </w:r>
      <w:r w:rsidRPr="007C58C4">
        <w:rPr>
          <w:b/>
          <w:lang w:val="en-US"/>
        </w:rPr>
        <w:t xml:space="preserve">: </w:t>
      </w:r>
      <w:r>
        <w:rPr>
          <w:b/>
          <w:lang w:val="en-US"/>
        </w:rPr>
        <w:t>Both configuration#1 and configuration#2 shall be considered for RAN4 V2V performance requirements.</w:t>
      </w:r>
    </w:p>
    <w:p w:rsidR="00FC0CCF" w:rsidRDefault="00FC0CCF" w:rsidP="00FC0CCF">
      <w:pPr>
        <w:rPr>
          <w:b/>
          <w:lang w:val="en-US"/>
        </w:rPr>
      </w:pPr>
      <w:r w:rsidRPr="00E17074">
        <w:rPr>
          <w:b/>
          <w:lang w:val="en-US"/>
        </w:rPr>
        <w:t>Proposal</w:t>
      </w:r>
      <w:r>
        <w:rPr>
          <w:b/>
          <w:lang w:val="en-US"/>
        </w:rPr>
        <w:t xml:space="preserve"> 2</w:t>
      </w:r>
      <w:r w:rsidRPr="00E17074">
        <w:rPr>
          <w:b/>
          <w:lang w:val="en-US"/>
        </w:rPr>
        <w:t xml:space="preserve">: </w:t>
      </w:r>
      <w:r>
        <w:rPr>
          <w:b/>
          <w:lang w:val="en-US"/>
        </w:rPr>
        <w:t xml:space="preserve">Performance requirements are defined based on </w:t>
      </w:r>
      <w:r w:rsidRPr="00E17074">
        <w:rPr>
          <w:rFonts w:hint="eastAsia"/>
          <w:b/>
          <w:lang w:val="en-US"/>
        </w:rPr>
        <w:t>GNSS</w:t>
      </w:r>
      <w:r w:rsidRPr="00E17074">
        <w:rPr>
          <w:b/>
          <w:lang w:val="en-US"/>
        </w:rPr>
        <w:t>-based synchronization in V2V work item</w:t>
      </w:r>
    </w:p>
    <w:p w:rsidR="00FC0CCF" w:rsidRDefault="00FC0CCF" w:rsidP="004D7ED3">
      <w:pPr>
        <w:rPr>
          <w:lang w:val="en-US"/>
        </w:rPr>
      </w:pPr>
      <w:r w:rsidRPr="00FE6CA5">
        <w:rPr>
          <w:b/>
          <w:lang w:val="en-US"/>
        </w:rPr>
        <w:t>Proposal</w:t>
      </w:r>
      <w:r>
        <w:rPr>
          <w:b/>
          <w:lang w:val="en-US"/>
        </w:rPr>
        <w:t xml:space="preserve"> 3</w:t>
      </w:r>
      <w:r w:rsidRPr="00FE6CA5">
        <w:rPr>
          <w:b/>
          <w:lang w:val="en-US"/>
        </w:rPr>
        <w:t>:</w:t>
      </w:r>
      <w:r>
        <w:rPr>
          <w:b/>
          <w:lang w:val="en-US"/>
        </w:rPr>
        <w:t xml:space="preserve"> Both higher Doppler/high frequency cases and lower Doppler cases shall be covered for performance requirements of V2V physical channels.</w:t>
      </w:r>
    </w:p>
    <w:p w:rsidR="00FC0CCF" w:rsidRPr="003A43C4" w:rsidRDefault="00FC0CCF" w:rsidP="00FC0CCF">
      <w:pPr>
        <w:rPr>
          <w:lang w:val="en-US"/>
        </w:rPr>
      </w:pPr>
      <w:r w:rsidRPr="007111D1">
        <w:rPr>
          <w:b/>
          <w:lang w:val="en-US"/>
        </w:rPr>
        <w:t>Proposal 4</w:t>
      </w:r>
      <w:r>
        <w:rPr>
          <w:lang w:val="en-US"/>
        </w:rPr>
        <w:t xml:space="preserve">: </w:t>
      </w:r>
      <w:r w:rsidRPr="007111D1">
        <w:rPr>
          <w:b/>
          <w:lang w:val="en-US"/>
        </w:rPr>
        <w:t xml:space="preserve">Adjacent RBs </w:t>
      </w:r>
      <w:r>
        <w:rPr>
          <w:b/>
          <w:lang w:val="en-US"/>
        </w:rPr>
        <w:t xml:space="preserve">are </w:t>
      </w:r>
      <w:r w:rsidRPr="007111D1">
        <w:rPr>
          <w:b/>
          <w:lang w:val="en-US"/>
        </w:rPr>
        <w:t>allocated for SA and its associated PSSCH transmission in the same subframe.</w:t>
      </w:r>
      <w:r>
        <w:rPr>
          <w:lang w:val="en-US"/>
        </w:rPr>
        <w:t xml:space="preserve">  </w:t>
      </w:r>
    </w:p>
    <w:p w:rsidR="00FC0CCF" w:rsidRDefault="00FC0CCF" w:rsidP="00FC0CCF">
      <w:pPr>
        <w:rPr>
          <w:b/>
          <w:lang w:val="en-US"/>
        </w:rPr>
      </w:pPr>
      <w:r w:rsidRPr="00712F33">
        <w:rPr>
          <w:b/>
          <w:lang w:val="en-US"/>
        </w:rPr>
        <w:t>Proposal</w:t>
      </w:r>
      <w:r>
        <w:rPr>
          <w:b/>
          <w:lang w:val="en-US"/>
        </w:rPr>
        <w:t xml:space="preserve"> 5: RAN4 should redefine all performance requirements for PSSCH, PSCCH, and PSBCH. </w:t>
      </w:r>
    </w:p>
    <w:p w:rsidR="00FC0CCF" w:rsidRDefault="00FC0CCF" w:rsidP="00FC0CCF">
      <w:pPr>
        <w:rPr>
          <w:b/>
          <w:lang w:val="en-US"/>
        </w:rPr>
      </w:pPr>
      <w:r w:rsidRPr="00712F33">
        <w:rPr>
          <w:b/>
          <w:lang w:val="en-US"/>
        </w:rPr>
        <w:t>Proposal</w:t>
      </w:r>
      <w:r>
        <w:rPr>
          <w:b/>
          <w:lang w:val="en-US"/>
        </w:rPr>
        <w:t xml:space="preserve"> 6: New SDR test may be need to verify the UE maximum processing capability </w:t>
      </w:r>
    </w:p>
    <w:p w:rsidR="0006014E" w:rsidRDefault="0006014E" w:rsidP="004D7ED3">
      <w:pPr>
        <w:rPr>
          <w:lang w:val="en-US"/>
        </w:rPr>
      </w:pPr>
    </w:p>
    <w:p w:rsidR="0006014E" w:rsidRDefault="0006014E" w:rsidP="0006014E">
      <w:pPr>
        <w:pStyle w:val="Heading1"/>
        <w:numPr>
          <w:ilvl w:val="0"/>
          <w:numId w:val="0"/>
        </w:numPr>
        <w:ind w:left="432" w:hanging="432"/>
        <w:rPr>
          <w:lang w:val="en-US"/>
        </w:rPr>
      </w:pPr>
      <w:r>
        <w:rPr>
          <w:lang w:val="en-US"/>
        </w:rPr>
        <w:t>Reference</w:t>
      </w:r>
    </w:p>
    <w:p w:rsidR="000F3FF6" w:rsidRPr="00412106" w:rsidRDefault="007E7912" w:rsidP="00412106">
      <w:pPr>
        <w:pStyle w:val="ListParagraph"/>
        <w:numPr>
          <w:ilvl w:val="0"/>
          <w:numId w:val="37"/>
        </w:numPr>
        <w:overflowPunct/>
        <w:autoSpaceDE/>
        <w:autoSpaceDN/>
        <w:adjustRightInd/>
        <w:spacing w:after="0"/>
        <w:ind w:left="360"/>
        <w:contextualSpacing w:val="0"/>
        <w:jc w:val="left"/>
        <w:textAlignment w:val="auto"/>
        <w:rPr>
          <w:color w:val="312E25"/>
          <w:szCs w:val="22"/>
          <w:lang w:eastAsia="sv-SE"/>
        </w:rPr>
      </w:pPr>
      <w:bookmarkStart w:id="7" w:name="_Ref463034987"/>
      <w:r w:rsidRPr="00412106">
        <w:rPr>
          <w:color w:val="312E25"/>
          <w:szCs w:val="22"/>
          <w:lang w:eastAsia="sv-SE"/>
        </w:rPr>
        <w:t>RP-161788, V2V Work Item Completion, Qualcomm Incorporated, LGE, CATT, III, Panasonic, Huawei, HiSilicon, Kyocera, Ericsson, Vodafone, Sony, RAN#73, 2016</w:t>
      </w:r>
      <w:bookmarkStart w:id="8" w:name="_Ref458373156"/>
      <w:bookmarkEnd w:id="7"/>
    </w:p>
    <w:p w:rsidR="00412106" w:rsidRDefault="000F3FF6" w:rsidP="00412106">
      <w:pPr>
        <w:pStyle w:val="ListParagraph"/>
        <w:numPr>
          <w:ilvl w:val="0"/>
          <w:numId w:val="37"/>
        </w:numPr>
        <w:overflowPunct/>
        <w:autoSpaceDE/>
        <w:autoSpaceDN/>
        <w:adjustRightInd/>
        <w:spacing w:after="0"/>
        <w:ind w:left="360"/>
        <w:contextualSpacing w:val="0"/>
        <w:jc w:val="left"/>
        <w:textAlignment w:val="auto"/>
        <w:rPr>
          <w:color w:val="312E25"/>
          <w:szCs w:val="22"/>
          <w:lang w:eastAsia="sv-SE"/>
        </w:rPr>
      </w:pPr>
      <w:bookmarkStart w:id="9" w:name="_Ref463037405"/>
      <w:r w:rsidRPr="000F3FF6">
        <w:rPr>
          <w:color w:val="312E25"/>
          <w:szCs w:val="22"/>
          <w:lang w:eastAsia="sv-SE"/>
        </w:rPr>
        <w:t>Draft ETSI EN 302 571 V2.0.0 (2016-03), Radio</w:t>
      </w:r>
      <w:r w:rsidR="00014216">
        <w:rPr>
          <w:color w:val="312E25"/>
          <w:szCs w:val="22"/>
          <w:lang w:eastAsia="sv-SE"/>
        </w:rPr>
        <w:t xml:space="preserve"> </w:t>
      </w:r>
      <w:r w:rsidRPr="000F3FF6">
        <w:rPr>
          <w:color w:val="312E25"/>
          <w:szCs w:val="22"/>
          <w:lang w:eastAsia="sv-SE"/>
        </w:rPr>
        <w:t>communications equipment operating in the 5 855 MHz to 5 925 MHz frequency band; Harmonised Standard covering the essential requirements of article 3.2 of Directive 2014/53/EU</w:t>
      </w:r>
      <w:bookmarkStart w:id="10" w:name="_Ref458373460"/>
      <w:bookmarkEnd w:id="8"/>
      <w:bookmarkEnd w:id="9"/>
    </w:p>
    <w:p w:rsidR="000F3FF6" w:rsidRPr="00412106" w:rsidRDefault="000F3FF6" w:rsidP="00412106">
      <w:pPr>
        <w:pStyle w:val="ListParagraph"/>
        <w:numPr>
          <w:ilvl w:val="0"/>
          <w:numId w:val="37"/>
        </w:numPr>
        <w:overflowPunct/>
        <w:autoSpaceDE/>
        <w:autoSpaceDN/>
        <w:adjustRightInd/>
        <w:spacing w:after="0"/>
        <w:ind w:left="360"/>
        <w:contextualSpacing w:val="0"/>
        <w:textAlignment w:val="auto"/>
        <w:rPr>
          <w:color w:val="312E25"/>
          <w:szCs w:val="22"/>
          <w:lang w:eastAsia="sv-SE"/>
        </w:rPr>
      </w:pPr>
      <w:bookmarkStart w:id="11" w:name="_Ref463037407"/>
      <w:r w:rsidRPr="00412106">
        <w:rPr>
          <w:color w:val="312E25"/>
          <w:szCs w:val="22"/>
          <w:lang w:eastAsia="sv-SE"/>
        </w:rPr>
        <w:t xml:space="preserve">Revision proposal of Clause 4.2.10 of Draft ETSI EN 302 571 V2.0.0 (2016-03), URL: </w:t>
      </w:r>
      <w:hyperlink r:id="rId11" w:history="1">
        <w:r w:rsidRPr="00412106">
          <w:rPr>
            <w:rStyle w:val="Hyperlink"/>
            <w:szCs w:val="22"/>
            <w:lang w:eastAsia="sv-SE"/>
          </w:rPr>
          <w:t>https://docbox.etsi.org/ERM/ERMTG37/05-CONTRIBUTIONS/2016//ERMTG37(16)000039_Revised_Clause_4_2_10_with_track_changes.docx</w:t>
        </w:r>
      </w:hyperlink>
      <w:r w:rsidRPr="00412106">
        <w:rPr>
          <w:color w:val="312E25"/>
          <w:szCs w:val="22"/>
          <w:lang w:eastAsia="sv-SE"/>
        </w:rPr>
        <w:t xml:space="preserve"> (last accessed on 07 Aug. 2016)</w:t>
      </w:r>
      <w:bookmarkEnd w:id="10"/>
      <w:bookmarkEnd w:id="11"/>
    </w:p>
    <w:p w:rsidR="000F3FF6" w:rsidRPr="007E7912" w:rsidRDefault="000F3FF6" w:rsidP="000F3FF6">
      <w:pPr>
        <w:pStyle w:val="ListParagraph"/>
        <w:ind w:left="360"/>
        <w:rPr>
          <w:lang w:val="en-US"/>
        </w:rPr>
      </w:pPr>
    </w:p>
    <w:sectPr w:rsidR="000F3FF6" w:rsidRPr="007E791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19C" w:rsidRDefault="003C419C">
      <w:r>
        <w:separator/>
      </w:r>
    </w:p>
  </w:endnote>
  <w:endnote w:type="continuationSeparator" w:id="0">
    <w:p w:rsidR="003C419C" w:rsidRDefault="003C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664" w:rsidRDefault="00C93664"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66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666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19C" w:rsidRDefault="003C419C">
      <w:r>
        <w:separator/>
      </w:r>
    </w:p>
  </w:footnote>
  <w:footnote w:type="continuationSeparator" w:id="0">
    <w:p w:rsidR="003C419C" w:rsidRDefault="003C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664" w:rsidRDefault="00C936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A15DB"/>
    <w:multiLevelType w:val="hybridMultilevel"/>
    <w:tmpl w:val="F09C0FD8"/>
    <w:lvl w:ilvl="0" w:tplc="46DE238A">
      <w:start w:val="3"/>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9B40EA1"/>
    <w:multiLevelType w:val="hybridMultilevel"/>
    <w:tmpl w:val="E4F67404"/>
    <w:lvl w:ilvl="0" w:tplc="FBD4BA30">
      <w:start w:val="1"/>
      <w:numFmt w:val="decimal"/>
      <w:lvlText w:val="[%1]."/>
      <w:lvlJc w:val="left"/>
      <w:pPr>
        <w:ind w:left="720" w:hanging="360"/>
      </w:pPr>
      <w:rPr>
        <w:rFonts w:hint="eastAsia"/>
        <w:spacing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8"/>
  </w:num>
  <w:num w:numId="4">
    <w:abstractNumId w:val="25"/>
  </w:num>
  <w:num w:numId="5">
    <w:abstractNumId w:val="5"/>
  </w:num>
  <w:num w:numId="6">
    <w:abstractNumId w:val="14"/>
  </w:num>
  <w:num w:numId="7">
    <w:abstractNumId w:val="21"/>
  </w:num>
  <w:num w:numId="8">
    <w:abstractNumId w:val="16"/>
  </w:num>
  <w:num w:numId="9">
    <w:abstractNumId w:val="11"/>
  </w:num>
  <w:num w:numId="10">
    <w:abstractNumId w:val="22"/>
  </w:num>
  <w:num w:numId="11">
    <w:abstractNumId w:val="20"/>
  </w:num>
  <w:num w:numId="12">
    <w:abstractNumId w:val="6"/>
  </w:num>
  <w:num w:numId="13">
    <w:abstractNumId w:val="4"/>
  </w:num>
  <w:num w:numId="14">
    <w:abstractNumId w:val="7"/>
  </w:num>
  <w:num w:numId="15">
    <w:abstractNumId w:val="24"/>
  </w:num>
  <w:num w:numId="16">
    <w:abstractNumId w:val="10"/>
  </w:num>
  <w:num w:numId="17">
    <w:abstractNumId w:val="3"/>
  </w:num>
  <w:num w:numId="18">
    <w:abstractNumId w:val="0"/>
  </w:num>
  <w:num w:numId="19">
    <w:abstractNumId w:val="0"/>
  </w:num>
  <w:num w:numId="20">
    <w:abstractNumId w:val="2"/>
  </w:num>
  <w:num w:numId="21">
    <w:abstractNumId w:val="0"/>
  </w:num>
  <w:num w:numId="22">
    <w:abstractNumId w:val="26"/>
  </w:num>
  <w:num w:numId="23">
    <w:abstractNumId w:val="0"/>
  </w:num>
  <w:num w:numId="24">
    <w:abstractNumId w:val="27"/>
  </w:num>
  <w:num w:numId="25">
    <w:abstractNumId w:val="0"/>
  </w:num>
  <w:num w:numId="26">
    <w:abstractNumId w:val="13"/>
  </w:num>
  <w:num w:numId="27">
    <w:abstractNumId w:val="0"/>
  </w:num>
  <w:num w:numId="28">
    <w:abstractNumId w:val="18"/>
  </w:num>
  <w:num w:numId="29">
    <w:abstractNumId w:val="0"/>
  </w:num>
  <w:num w:numId="30">
    <w:abstractNumId w:val="17"/>
  </w:num>
  <w:num w:numId="31">
    <w:abstractNumId w:val="15"/>
  </w:num>
  <w:num w:numId="32">
    <w:abstractNumId w:val="0"/>
  </w:num>
  <w:num w:numId="33">
    <w:abstractNumId w:val="12"/>
  </w:num>
  <w:num w:numId="34">
    <w:abstractNumId w:val="0"/>
  </w:num>
  <w:num w:numId="35">
    <w:abstractNumId w:val="0"/>
  </w:num>
  <w:num w:numId="36">
    <w:abstractNumId w:val="0"/>
  </w:num>
  <w:num w:numId="37">
    <w:abstractNumId w:val="9"/>
  </w:num>
  <w:num w:numId="38">
    <w:abstractNumId w:val="1"/>
  </w:num>
  <w:num w:numId="39">
    <w:abstractNumId w:val="23"/>
  </w:num>
  <w:num w:numId="40">
    <w:abstractNumId w:val="0"/>
  </w:num>
  <w:num w:numId="41">
    <w:abstractNumId w:val="0"/>
  </w:num>
  <w:num w:numId="42">
    <w:abstractNumId w:val="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0632"/>
    <w:rsid w:val="0000486D"/>
    <w:rsid w:val="00013840"/>
    <w:rsid w:val="00014216"/>
    <w:rsid w:val="00015A19"/>
    <w:rsid w:val="000173A2"/>
    <w:rsid w:val="00026EDA"/>
    <w:rsid w:val="00031496"/>
    <w:rsid w:val="0003279D"/>
    <w:rsid w:val="00035A95"/>
    <w:rsid w:val="00040A52"/>
    <w:rsid w:val="00043AFB"/>
    <w:rsid w:val="0005240C"/>
    <w:rsid w:val="0005242B"/>
    <w:rsid w:val="000550CD"/>
    <w:rsid w:val="0006014E"/>
    <w:rsid w:val="00060D85"/>
    <w:rsid w:val="00064F2A"/>
    <w:rsid w:val="00072848"/>
    <w:rsid w:val="00075BE0"/>
    <w:rsid w:val="00080027"/>
    <w:rsid w:val="00084976"/>
    <w:rsid w:val="00084CEC"/>
    <w:rsid w:val="00086F37"/>
    <w:rsid w:val="0008783D"/>
    <w:rsid w:val="00094048"/>
    <w:rsid w:val="000948D4"/>
    <w:rsid w:val="000A0C1A"/>
    <w:rsid w:val="000A752C"/>
    <w:rsid w:val="000B26D2"/>
    <w:rsid w:val="000B4583"/>
    <w:rsid w:val="000B4C42"/>
    <w:rsid w:val="000B6F93"/>
    <w:rsid w:val="000C7A12"/>
    <w:rsid w:val="000D390B"/>
    <w:rsid w:val="000D63CC"/>
    <w:rsid w:val="000F144F"/>
    <w:rsid w:val="000F338C"/>
    <w:rsid w:val="000F3FF6"/>
    <w:rsid w:val="000F60B2"/>
    <w:rsid w:val="000F642E"/>
    <w:rsid w:val="00100E91"/>
    <w:rsid w:val="00103732"/>
    <w:rsid w:val="00110B3D"/>
    <w:rsid w:val="001121D2"/>
    <w:rsid w:val="00115F74"/>
    <w:rsid w:val="001260F6"/>
    <w:rsid w:val="00127701"/>
    <w:rsid w:val="00131F98"/>
    <w:rsid w:val="00132565"/>
    <w:rsid w:val="0013481C"/>
    <w:rsid w:val="00135F79"/>
    <w:rsid w:val="00143677"/>
    <w:rsid w:val="00144356"/>
    <w:rsid w:val="0015375A"/>
    <w:rsid w:val="00153BA9"/>
    <w:rsid w:val="00160FC2"/>
    <w:rsid w:val="00165DB3"/>
    <w:rsid w:val="00166D37"/>
    <w:rsid w:val="001805E5"/>
    <w:rsid w:val="001807D0"/>
    <w:rsid w:val="00182390"/>
    <w:rsid w:val="001849C3"/>
    <w:rsid w:val="00187D58"/>
    <w:rsid w:val="0019129C"/>
    <w:rsid w:val="00197EC1"/>
    <w:rsid w:val="001A01BF"/>
    <w:rsid w:val="001A1E2F"/>
    <w:rsid w:val="001B6327"/>
    <w:rsid w:val="001B6B90"/>
    <w:rsid w:val="001C0D21"/>
    <w:rsid w:val="001D6428"/>
    <w:rsid w:val="001E0683"/>
    <w:rsid w:val="001E2BCB"/>
    <w:rsid w:val="001E34AE"/>
    <w:rsid w:val="001E3EBE"/>
    <w:rsid w:val="001F0CB7"/>
    <w:rsid w:val="001F2699"/>
    <w:rsid w:val="001F5E00"/>
    <w:rsid w:val="001F7FF8"/>
    <w:rsid w:val="002046E6"/>
    <w:rsid w:val="00216465"/>
    <w:rsid w:val="00216D83"/>
    <w:rsid w:val="00221532"/>
    <w:rsid w:val="0023122F"/>
    <w:rsid w:val="002367CC"/>
    <w:rsid w:val="00237E20"/>
    <w:rsid w:val="002508E6"/>
    <w:rsid w:val="00250901"/>
    <w:rsid w:val="00261554"/>
    <w:rsid w:val="00263D43"/>
    <w:rsid w:val="00270647"/>
    <w:rsid w:val="00272573"/>
    <w:rsid w:val="00280263"/>
    <w:rsid w:val="00290F74"/>
    <w:rsid w:val="002910A4"/>
    <w:rsid w:val="002977EA"/>
    <w:rsid w:val="002A127A"/>
    <w:rsid w:val="002A267B"/>
    <w:rsid w:val="002B5041"/>
    <w:rsid w:val="002D5960"/>
    <w:rsid w:val="002D7552"/>
    <w:rsid w:val="002E14DE"/>
    <w:rsid w:val="002E31FA"/>
    <w:rsid w:val="002E6775"/>
    <w:rsid w:val="002F6970"/>
    <w:rsid w:val="00300390"/>
    <w:rsid w:val="00303D52"/>
    <w:rsid w:val="003216DA"/>
    <w:rsid w:val="00324676"/>
    <w:rsid w:val="0033227D"/>
    <w:rsid w:val="00333ED9"/>
    <w:rsid w:val="00342F05"/>
    <w:rsid w:val="0034611F"/>
    <w:rsid w:val="00355CE4"/>
    <w:rsid w:val="003560F7"/>
    <w:rsid w:val="00371150"/>
    <w:rsid w:val="00371687"/>
    <w:rsid w:val="00373313"/>
    <w:rsid w:val="00373ACB"/>
    <w:rsid w:val="00384E2D"/>
    <w:rsid w:val="0039330D"/>
    <w:rsid w:val="00394EF9"/>
    <w:rsid w:val="0039592D"/>
    <w:rsid w:val="003A0E9F"/>
    <w:rsid w:val="003A16D3"/>
    <w:rsid w:val="003A234B"/>
    <w:rsid w:val="003A4340"/>
    <w:rsid w:val="003A43C4"/>
    <w:rsid w:val="003A5799"/>
    <w:rsid w:val="003C2448"/>
    <w:rsid w:val="003C3F6C"/>
    <w:rsid w:val="003C419C"/>
    <w:rsid w:val="003C42AD"/>
    <w:rsid w:val="003D0127"/>
    <w:rsid w:val="003D0DEB"/>
    <w:rsid w:val="003E319E"/>
    <w:rsid w:val="00412106"/>
    <w:rsid w:val="0041465A"/>
    <w:rsid w:val="00416EC3"/>
    <w:rsid w:val="00417F6B"/>
    <w:rsid w:val="00433365"/>
    <w:rsid w:val="00433FF0"/>
    <w:rsid w:val="00441224"/>
    <w:rsid w:val="00442F9C"/>
    <w:rsid w:val="00463C49"/>
    <w:rsid w:val="004719A7"/>
    <w:rsid w:val="0048397A"/>
    <w:rsid w:val="00493121"/>
    <w:rsid w:val="00493C74"/>
    <w:rsid w:val="004950BA"/>
    <w:rsid w:val="004A31FA"/>
    <w:rsid w:val="004B0BD2"/>
    <w:rsid w:val="004B0E99"/>
    <w:rsid w:val="004B37C6"/>
    <w:rsid w:val="004B565B"/>
    <w:rsid w:val="004B7041"/>
    <w:rsid w:val="004C3EC6"/>
    <w:rsid w:val="004C7F18"/>
    <w:rsid w:val="004D1869"/>
    <w:rsid w:val="004D2BCC"/>
    <w:rsid w:val="004D3DAD"/>
    <w:rsid w:val="004D64D0"/>
    <w:rsid w:val="004D7ED3"/>
    <w:rsid w:val="004E22A1"/>
    <w:rsid w:val="004E75E9"/>
    <w:rsid w:val="00506FCB"/>
    <w:rsid w:val="0051669B"/>
    <w:rsid w:val="00532B43"/>
    <w:rsid w:val="00536997"/>
    <w:rsid w:val="0054440F"/>
    <w:rsid w:val="0054541A"/>
    <w:rsid w:val="00545586"/>
    <w:rsid w:val="00547C15"/>
    <w:rsid w:val="0055050C"/>
    <w:rsid w:val="005515A6"/>
    <w:rsid w:val="0055569C"/>
    <w:rsid w:val="005600E5"/>
    <w:rsid w:val="0056047C"/>
    <w:rsid w:val="00560D62"/>
    <w:rsid w:val="0056275E"/>
    <w:rsid w:val="0056349B"/>
    <w:rsid w:val="00563AD9"/>
    <w:rsid w:val="00573E75"/>
    <w:rsid w:val="00590521"/>
    <w:rsid w:val="0059060F"/>
    <w:rsid w:val="00591123"/>
    <w:rsid w:val="005932C3"/>
    <w:rsid w:val="005A20B2"/>
    <w:rsid w:val="005A2E5A"/>
    <w:rsid w:val="005A3926"/>
    <w:rsid w:val="005A447B"/>
    <w:rsid w:val="005A6570"/>
    <w:rsid w:val="005B603D"/>
    <w:rsid w:val="005C2BA0"/>
    <w:rsid w:val="005D564B"/>
    <w:rsid w:val="005D7FBC"/>
    <w:rsid w:val="005E0115"/>
    <w:rsid w:val="005E1875"/>
    <w:rsid w:val="005E18EA"/>
    <w:rsid w:val="005E495F"/>
    <w:rsid w:val="005F0AEB"/>
    <w:rsid w:val="005F254C"/>
    <w:rsid w:val="005F3927"/>
    <w:rsid w:val="005F3EE3"/>
    <w:rsid w:val="005F5A31"/>
    <w:rsid w:val="005F5B53"/>
    <w:rsid w:val="005F7F08"/>
    <w:rsid w:val="00602C39"/>
    <w:rsid w:val="00605AFD"/>
    <w:rsid w:val="0061073A"/>
    <w:rsid w:val="00610EDA"/>
    <w:rsid w:val="0061263B"/>
    <w:rsid w:val="00613E31"/>
    <w:rsid w:val="0061487F"/>
    <w:rsid w:val="00616889"/>
    <w:rsid w:val="0061696F"/>
    <w:rsid w:val="00621407"/>
    <w:rsid w:val="00625265"/>
    <w:rsid w:val="00630573"/>
    <w:rsid w:val="00632FFE"/>
    <w:rsid w:val="00647B8A"/>
    <w:rsid w:val="00656CA4"/>
    <w:rsid w:val="0066427E"/>
    <w:rsid w:val="00665C7F"/>
    <w:rsid w:val="006700F4"/>
    <w:rsid w:val="00671A08"/>
    <w:rsid w:val="00682FBE"/>
    <w:rsid w:val="00683167"/>
    <w:rsid w:val="006856F5"/>
    <w:rsid w:val="006923ED"/>
    <w:rsid w:val="006943DF"/>
    <w:rsid w:val="006950A4"/>
    <w:rsid w:val="00695AF3"/>
    <w:rsid w:val="006A0877"/>
    <w:rsid w:val="006A0FC9"/>
    <w:rsid w:val="006A2F4E"/>
    <w:rsid w:val="006B0901"/>
    <w:rsid w:val="006B3153"/>
    <w:rsid w:val="006B3E21"/>
    <w:rsid w:val="006B57BD"/>
    <w:rsid w:val="006C1643"/>
    <w:rsid w:val="006C17E3"/>
    <w:rsid w:val="006C64B8"/>
    <w:rsid w:val="006D7962"/>
    <w:rsid w:val="006F1A4C"/>
    <w:rsid w:val="007021F4"/>
    <w:rsid w:val="007054D1"/>
    <w:rsid w:val="007111D1"/>
    <w:rsid w:val="00712F33"/>
    <w:rsid w:val="00714122"/>
    <w:rsid w:val="007146CA"/>
    <w:rsid w:val="00722AB5"/>
    <w:rsid w:val="0072369C"/>
    <w:rsid w:val="00727A5A"/>
    <w:rsid w:val="007500D8"/>
    <w:rsid w:val="00751CAA"/>
    <w:rsid w:val="00752956"/>
    <w:rsid w:val="0075782D"/>
    <w:rsid w:val="007616B9"/>
    <w:rsid w:val="007667F7"/>
    <w:rsid w:val="00767771"/>
    <w:rsid w:val="00767E12"/>
    <w:rsid w:val="007770BE"/>
    <w:rsid w:val="007866D1"/>
    <w:rsid w:val="00790F39"/>
    <w:rsid w:val="00792F1D"/>
    <w:rsid w:val="00793C26"/>
    <w:rsid w:val="00794BA1"/>
    <w:rsid w:val="00797A3F"/>
    <w:rsid w:val="007A1074"/>
    <w:rsid w:val="007A1512"/>
    <w:rsid w:val="007A25A0"/>
    <w:rsid w:val="007A3AC8"/>
    <w:rsid w:val="007A3B53"/>
    <w:rsid w:val="007A4DCF"/>
    <w:rsid w:val="007A5E21"/>
    <w:rsid w:val="007A60BB"/>
    <w:rsid w:val="007A6D6B"/>
    <w:rsid w:val="007B0BC2"/>
    <w:rsid w:val="007B16C1"/>
    <w:rsid w:val="007B4033"/>
    <w:rsid w:val="007C4DC1"/>
    <w:rsid w:val="007C58C4"/>
    <w:rsid w:val="007D5A90"/>
    <w:rsid w:val="007D6C1B"/>
    <w:rsid w:val="007E10A2"/>
    <w:rsid w:val="007E5AE3"/>
    <w:rsid w:val="007E7912"/>
    <w:rsid w:val="007F0599"/>
    <w:rsid w:val="007F2F54"/>
    <w:rsid w:val="008020E5"/>
    <w:rsid w:val="0081426E"/>
    <w:rsid w:val="00815F66"/>
    <w:rsid w:val="008261E6"/>
    <w:rsid w:val="008300FE"/>
    <w:rsid w:val="00834741"/>
    <w:rsid w:val="00840706"/>
    <w:rsid w:val="00844F8A"/>
    <w:rsid w:val="008467F9"/>
    <w:rsid w:val="00852DB4"/>
    <w:rsid w:val="00857CEA"/>
    <w:rsid w:val="00860BA1"/>
    <w:rsid w:val="0086417C"/>
    <w:rsid w:val="00874446"/>
    <w:rsid w:val="00874860"/>
    <w:rsid w:val="0087659A"/>
    <w:rsid w:val="00877879"/>
    <w:rsid w:val="0087790D"/>
    <w:rsid w:val="008874D7"/>
    <w:rsid w:val="00893BCF"/>
    <w:rsid w:val="008953BA"/>
    <w:rsid w:val="00897263"/>
    <w:rsid w:val="008A276E"/>
    <w:rsid w:val="008A27EB"/>
    <w:rsid w:val="008A43A0"/>
    <w:rsid w:val="008A45ED"/>
    <w:rsid w:val="008B0257"/>
    <w:rsid w:val="008C043A"/>
    <w:rsid w:val="008C2B6A"/>
    <w:rsid w:val="008D07F7"/>
    <w:rsid w:val="008D424A"/>
    <w:rsid w:val="008E499D"/>
    <w:rsid w:val="008F19F5"/>
    <w:rsid w:val="008F6F03"/>
    <w:rsid w:val="008F7376"/>
    <w:rsid w:val="00902B95"/>
    <w:rsid w:val="00914396"/>
    <w:rsid w:val="00915CF3"/>
    <w:rsid w:val="00917361"/>
    <w:rsid w:val="00927B1B"/>
    <w:rsid w:val="00931ED8"/>
    <w:rsid w:val="00933164"/>
    <w:rsid w:val="0093427A"/>
    <w:rsid w:val="009370FC"/>
    <w:rsid w:val="0094632A"/>
    <w:rsid w:val="00951222"/>
    <w:rsid w:val="00957C5B"/>
    <w:rsid w:val="0096358B"/>
    <w:rsid w:val="00975E3D"/>
    <w:rsid w:val="0097651A"/>
    <w:rsid w:val="009804DC"/>
    <w:rsid w:val="00981D8C"/>
    <w:rsid w:val="0098483D"/>
    <w:rsid w:val="009850AD"/>
    <w:rsid w:val="00987A31"/>
    <w:rsid w:val="00992EAF"/>
    <w:rsid w:val="00997234"/>
    <w:rsid w:val="009A0911"/>
    <w:rsid w:val="009A4325"/>
    <w:rsid w:val="009A50AF"/>
    <w:rsid w:val="009A7F90"/>
    <w:rsid w:val="009B1816"/>
    <w:rsid w:val="009B214C"/>
    <w:rsid w:val="009B3F54"/>
    <w:rsid w:val="009B4610"/>
    <w:rsid w:val="009B4ADF"/>
    <w:rsid w:val="009C66E4"/>
    <w:rsid w:val="009C6923"/>
    <w:rsid w:val="009C7188"/>
    <w:rsid w:val="009D2144"/>
    <w:rsid w:val="009E36A1"/>
    <w:rsid w:val="009E3AD0"/>
    <w:rsid w:val="009E4669"/>
    <w:rsid w:val="009E482C"/>
    <w:rsid w:val="00A04429"/>
    <w:rsid w:val="00A15C9B"/>
    <w:rsid w:val="00A31F75"/>
    <w:rsid w:val="00A372E4"/>
    <w:rsid w:val="00A37B87"/>
    <w:rsid w:val="00A40B6B"/>
    <w:rsid w:val="00A44014"/>
    <w:rsid w:val="00A46849"/>
    <w:rsid w:val="00A63912"/>
    <w:rsid w:val="00A6547C"/>
    <w:rsid w:val="00A67C14"/>
    <w:rsid w:val="00A71C2F"/>
    <w:rsid w:val="00A73091"/>
    <w:rsid w:val="00A847B3"/>
    <w:rsid w:val="00A85F0A"/>
    <w:rsid w:val="00A85FBA"/>
    <w:rsid w:val="00A95C7F"/>
    <w:rsid w:val="00AC16E1"/>
    <w:rsid w:val="00AC1B98"/>
    <w:rsid w:val="00AC24AD"/>
    <w:rsid w:val="00AC6493"/>
    <w:rsid w:val="00AD0D54"/>
    <w:rsid w:val="00AE1EAF"/>
    <w:rsid w:val="00AE2ACD"/>
    <w:rsid w:val="00AE2DEC"/>
    <w:rsid w:val="00AE5FB6"/>
    <w:rsid w:val="00AE6CD8"/>
    <w:rsid w:val="00AF21EF"/>
    <w:rsid w:val="00B001EB"/>
    <w:rsid w:val="00B070B4"/>
    <w:rsid w:val="00B10AAC"/>
    <w:rsid w:val="00B110DF"/>
    <w:rsid w:val="00B20B2A"/>
    <w:rsid w:val="00B21F80"/>
    <w:rsid w:val="00B34E08"/>
    <w:rsid w:val="00B3684C"/>
    <w:rsid w:val="00B37A85"/>
    <w:rsid w:val="00B440E1"/>
    <w:rsid w:val="00B44923"/>
    <w:rsid w:val="00B47A26"/>
    <w:rsid w:val="00B51A23"/>
    <w:rsid w:val="00B53341"/>
    <w:rsid w:val="00B552F6"/>
    <w:rsid w:val="00B60F3E"/>
    <w:rsid w:val="00B641F2"/>
    <w:rsid w:val="00B70F7F"/>
    <w:rsid w:val="00B73091"/>
    <w:rsid w:val="00B73BFA"/>
    <w:rsid w:val="00B74003"/>
    <w:rsid w:val="00B74745"/>
    <w:rsid w:val="00B81A72"/>
    <w:rsid w:val="00B82088"/>
    <w:rsid w:val="00B92A16"/>
    <w:rsid w:val="00B92FFA"/>
    <w:rsid w:val="00BA0A3C"/>
    <w:rsid w:val="00BA2BBC"/>
    <w:rsid w:val="00BA44F6"/>
    <w:rsid w:val="00BB292F"/>
    <w:rsid w:val="00BB390C"/>
    <w:rsid w:val="00BB409B"/>
    <w:rsid w:val="00BB437C"/>
    <w:rsid w:val="00BB5E89"/>
    <w:rsid w:val="00BC0DAE"/>
    <w:rsid w:val="00BC78AE"/>
    <w:rsid w:val="00BD6F66"/>
    <w:rsid w:val="00BE12AA"/>
    <w:rsid w:val="00BE14AD"/>
    <w:rsid w:val="00BE75D7"/>
    <w:rsid w:val="00BF0B62"/>
    <w:rsid w:val="00BF1CA6"/>
    <w:rsid w:val="00C023E7"/>
    <w:rsid w:val="00C024D5"/>
    <w:rsid w:val="00C03BEB"/>
    <w:rsid w:val="00C04461"/>
    <w:rsid w:val="00C27AFC"/>
    <w:rsid w:val="00C40781"/>
    <w:rsid w:val="00C434D1"/>
    <w:rsid w:val="00C44F53"/>
    <w:rsid w:val="00C561E3"/>
    <w:rsid w:val="00C56F01"/>
    <w:rsid w:val="00C6639F"/>
    <w:rsid w:val="00C70167"/>
    <w:rsid w:val="00C70557"/>
    <w:rsid w:val="00C93664"/>
    <w:rsid w:val="00C945CF"/>
    <w:rsid w:val="00CB0CD3"/>
    <w:rsid w:val="00CB0D6C"/>
    <w:rsid w:val="00CC1B0D"/>
    <w:rsid w:val="00CD4651"/>
    <w:rsid w:val="00CD69DB"/>
    <w:rsid w:val="00CE3671"/>
    <w:rsid w:val="00CE7531"/>
    <w:rsid w:val="00CE7F1A"/>
    <w:rsid w:val="00CF34F1"/>
    <w:rsid w:val="00D01B9D"/>
    <w:rsid w:val="00D12CC8"/>
    <w:rsid w:val="00D20B47"/>
    <w:rsid w:val="00D236D6"/>
    <w:rsid w:val="00D24FE9"/>
    <w:rsid w:val="00D335AA"/>
    <w:rsid w:val="00D422B2"/>
    <w:rsid w:val="00D42F81"/>
    <w:rsid w:val="00D50775"/>
    <w:rsid w:val="00D52B4D"/>
    <w:rsid w:val="00D64EF3"/>
    <w:rsid w:val="00D74505"/>
    <w:rsid w:val="00D7588D"/>
    <w:rsid w:val="00D76D77"/>
    <w:rsid w:val="00D76E6F"/>
    <w:rsid w:val="00D846C7"/>
    <w:rsid w:val="00D90968"/>
    <w:rsid w:val="00D91329"/>
    <w:rsid w:val="00D92EE6"/>
    <w:rsid w:val="00D94598"/>
    <w:rsid w:val="00D96B70"/>
    <w:rsid w:val="00D97012"/>
    <w:rsid w:val="00DA13D4"/>
    <w:rsid w:val="00DA1524"/>
    <w:rsid w:val="00DA66D8"/>
    <w:rsid w:val="00DB18C6"/>
    <w:rsid w:val="00DB387A"/>
    <w:rsid w:val="00DB4310"/>
    <w:rsid w:val="00DB5AF6"/>
    <w:rsid w:val="00DB5E3C"/>
    <w:rsid w:val="00DB6FDB"/>
    <w:rsid w:val="00DC4A4C"/>
    <w:rsid w:val="00DC5CE0"/>
    <w:rsid w:val="00DC5EAA"/>
    <w:rsid w:val="00DD3E3A"/>
    <w:rsid w:val="00DD75E0"/>
    <w:rsid w:val="00DE6472"/>
    <w:rsid w:val="00DE6F2C"/>
    <w:rsid w:val="00E03F83"/>
    <w:rsid w:val="00E05786"/>
    <w:rsid w:val="00E14C91"/>
    <w:rsid w:val="00E17074"/>
    <w:rsid w:val="00E30B07"/>
    <w:rsid w:val="00E324AD"/>
    <w:rsid w:val="00E32D07"/>
    <w:rsid w:val="00E367B4"/>
    <w:rsid w:val="00E3684E"/>
    <w:rsid w:val="00E476CA"/>
    <w:rsid w:val="00E553CB"/>
    <w:rsid w:val="00E60C73"/>
    <w:rsid w:val="00E61808"/>
    <w:rsid w:val="00E64478"/>
    <w:rsid w:val="00E66CD0"/>
    <w:rsid w:val="00E7004A"/>
    <w:rsid w:val="00E72DCD"/>
    <w:rsid w:val="00E737B6"/>
    <w:rsid w:val="00E7585F"/>
    <w:rsid w:val="00E823EC"/>
    <w:rsid w:val="00E837CF"/>
    <w:rsid w:val="00E879F9"/>
    <w:rsid w:val="00E9120C"/>
    <w:rsid w:val="00E95726"/>
    <w:rsid w:val="00EA2B4B"/>
    <w:rsid w:val="00EA6247"/>
    <w:rsid w:val="00EB03B3"/>
    <w:rsid w:val="00EB23CD"/>
    <w:rsid w:val="00EB33CF"/>
    <w:rsid w:val="00EB6E48"/>
    <w:rsid w:val="00ED0A21"/>
    <w:rsid w:val="00ED4A53"/>
    <w:rsid w:val="00ED6325"/>
    <w:rsid w:val="00EE1370"/>
    <w:rsid w:val="00EE6E51"/>
    <w:rsid w:val="00EF13B5"/>
    <w:rsid w:val="00EF3302"/>
    <w:rsid w:val="00EF3E30"/>
    <w:rsid w:val="00EF5CC3"/>
    <w:rsid w:val="00F102F1"/>
    <w:rsid w:val="00F12EE5"/>
    <w:rsid w:val="00F143B6"/>
    <w:rsid w:val="00F20DDB"/>
    <w:rsid w:val="00F213EE"/>
    <w:rsid w:val="00F26B40"/>
    <w:rsid w:val="00F3111E"/>
    <w:rsid w:val="00F33938"/>
    <w:rsid w:val="00F37293"/>
    <w:rsid w:val="00F41799"/>
    <w:rsid w:val="00F4409B"/>
    <w:rsid w:val="00F45A77"/>
    <w:rsid w:val="00F46669"/>
    <w:rsid w:val="00F47F7C"/>
    <w:rsid w:val="00F552B1"/>
    <w:rsid w:val="00F6478A"/>
    <w:rsid w:val="00F72433"/>
    <w:rsid w:val="00F72B26"/>
    <w:rsid w:val="00F75F15"/>
    <w:rsid w:val="00F81A97"/>
    <w:rsid w:val="00F825AD"/>
    <w:rsid w:val="00F855B6"/>
    <w:rsid w:val="00F85BCE"/>
    <w:rsid w:val="00F91E2D"/>
    <w:rsid w:val="00F96431"/>
    <w:rsid w:val="00F96A87"/>
    <w:rsid w:val="00FA03BE"/>
    <w:rsid w:val="00FA31EB"/>
    <w:rsid w:val="00FC0CCF"/>
    <w:rsid w:val="00FC2FF5"/>
    <w:rsid w:val="00FD1133"/>
    <w:rsid w:val="00FD7926"/>
    <w:rsid w:val="00FE27D3"/>
    <w:rsid w:val="00FE590E"/>
    <w:rsid w:val="00FE6CA5"/>
    <w:rsid w:val="00FE7396"/>
    <w:rsid w:val="00FF1D56"/>
    <w:rsid w:val="00FF4DFC"/>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ERM/ERMTG37/05-CONTRIBUTIONS/2016//ERMTG37(16)000039_Revised_Clause_4_2_10_with_track_changes.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CEC9-0E6A-4B69-8151-1FB49098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160</TotalTime>
  <Pages>5</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121</cp:revision>
  <dcterms:created xsi:type="dcterms:W3CDTF">2016-07-12T02:34:00Z</dcterms:created>
  <dcterms:modified xsi:type="dcterms:W3CDTF">2016-09-30T19:57:00Z</dcterms:modified>
</cp:coreProperties>
</file>